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6719D">
      <w:pPr>
        <w:pStyle w:val="12"/>
        <w:jc w:val="center"/>
        <w:rPr>
          <w:sz w:val="56"/>
          <w:szCs w:val="56"/>
        </w:rPr>
      </w:pPr>
    </w:p>
    <w:p w14:paraId="46DEBCCA">
      <w:pPr>
        <w:pStyle w:val="12"/>
        <w:jc w:val="center"/>
        <w:rPr>
          <w:sz w:val="56"/>
          <w:szCs w:val="56"/>
        </w:rPr>
      </w:pPr>
    </w:p>
    <w:p w14:paraId="22F60F51">
      <w:pPr>
        <w:pStyle w:val="12"/>
        <w:jc w:val="center"/>
        <w:rPr>
          <w:sz w:val="84"/>
          <w:szCs w:val="84"/>
        </w:rPr>
      </w:pPr>
    </w:p>
    <w:p w14:paraId="08C72630">
      <w:pPr>
        <w:pStyle w:val="12"/>
        <w:jc w:val="center"/>
        <w:rPr>
          <w:sz w:val="84"/>
          <w:szCs w:val="84"/>
        </w:rPr>
      </w:pPr>
    </w:p>
    <w:p w14:paraId="32072FDC">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7E39E284">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湖南省怀化工业中等专业</w:t>
      </w:r>
    </w:p>
    <w:p w14:paraId="7B6341A6">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学校</w:t>
      </w:r>
      <w:r>
        <w:rPr>
          <w:rFonts w:hint="eastAsia" w:ascii="方正小标宋_GBK" w:hAnsi="方正小标宋_GBK" w:eastAsia="方正小标宋_GBK" w:cs="方正小标宋_GBK"/>
          <w:sz w:val="84"/>
          <w:szCs w:val="84"/>
        </w:rPr>
        <w:t>部门决算</w:t>
      </w:r>
    </w:p>
    <w:p w14:paraId="3CEFF926">
      <w:pPr>
        <w:pStyle w:val="12"/>
        <w:jc w:val="center"/>
        <w:rPr>
          <w:rFonts w:hint="eastAsia" w:ascii="方正小标宋_GBK" w:hAnsi="方正小标宋_GBK" w:eastAsia="方正小标宋_GBK" w:cs="方正小标宋_GBK"/>
          <w:sz w:val="56"/>
          <w:szCs w:val="56"/>
        </w:rPr>
      </w:pPr>
    </w:p>
    <w:p w14:paraId="4716396F">
      <w:pPr>
        <w:pStyle w:val="12"/>
        <w:jc w:val="center"/>
        <w:rPr>
          <w:sz w:val="56"/>
          <w:szCs w:val="56"/>
        </w:rPr>
      </w:pPr>
    </w:p>
    <w:p w14:paraId="0EE31B2E">
      <w:pPr>
        <w:pStyle w:val="12"/>
        <w:jc w:val="center"/>
        <w:rPr>
          <w:sz w:val="56"/>
          <w:szCs w:val="56"/>
        </w:rPr>
      </w:pPr>
    </w:p>
    <w:p w14:paraId="42CA28BD">
      <w:pPr>
        <w:pStyle w:val="12"/>
        <w:jc w:val="center"/>
        <w:rPr>
          <w:sz w:val="56"/>
          <w:szCs w:val="56"/>
        </w:rPr>
      </w:pPr>
    </w:p>
    <w:p w14:paraId="7A8BB82C">
      <w:pPr>
        <w:pStyle w:val="12"/>
        <w:jc w:val="center"/>
        <w:rPr>
          <w:sz w:val="32"/>
          <w:szCs w:val="32"/>
        </w:rPr>
      </w:pPr>
    </w:p>
    <w:p w14:paraId="2C638E18">
      <w:pPr>
        <w:pStyle w:val="12"/>
        <w:jc w:val="center"/>
        <w:rPr>
          <w:sz w:val="32"/>
          <w:szCs w:val="32"/>
        </w:rPr>
      </w:pPr>
    </w:p>
    <w:p w14:paraId="1723C04C">
      <w:pPr>
        <w:pStyle w:val="12"/>
        <w:jc w:val="center"/>
        <w:rPr>
          <w:sz w:val="32"/>
          <w:szCs w:val="32"/>
        </w:rPr>
      </w:pPr>
    </w:p>
    <w:p w14:paraId="632CEC31">
      <w:pPr>
        <w:pStyle w:val="12"/>
        <w:spacing w:line="500" w:lineRule="exact"/>
        <w:jc w:val="both"/>
        <w:rPr>
          <w:b/>
          <w:sz w:val="36"/>
          <w:szCs w:val="28"/>
        </w:rPr>
      </w:pPr>
    </w:p>
    <w:p w14:paraId="0349C471">
      <w:pPr>
        <w:pStyle w:val="12"/>
        <w:spacing w:line="500" w:lineRule="exact"/>
        <w:jc w:val="center"/>
        <w:rPr>
          <w:b/>
          <w:sz w:val="36"/>
          <w:szCs w:val="28"/>
        </w:rPr>
      </w:pPr>
      <w:r>
        <w:rPr>
          <w:rFonts w:hint="eastAsia"/>
          <w:b/>
          <w:sz w:val="36"/>
          <w:szCs w:val="28"/>
        </w:rPr>
        <w:t>目录</w:t>
      </w:r>
    </w:p>
    <w:p w14:paraId="1D5C1B5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hAnsi="黑体" w:cs="黑体"/>
          <w:b w:val="0"/>
          <w:bCs/>
          <w:sz w:val="28"/>
          <w:szCs w:val="28"/>
          <w:lang w:val="en-US" w:eastAsia="zh-CN"/>
        </w:rPr>
        <w:t xml:space="preserve"> </w:t>
      </w:r>
      <w:r>
        <w:rPr>
          <w:rFonts w:hint="eastAsia" w:ascii="黑体" w:hAnsi="黑体" w:eastAsia="黑体" w:cs="黑体"/>
          <w:b w:val="0"/>
          <w:bCs/>
          <w:sz w:val="28"/>
          <w:szCs w:val="28"/>
          <w:lang w:val="en-US" w:eastAsia="zh-CN"/>
        </w:rPr>
        <w:t>湖南省怀化工业中等专业学校</w:t>
      </w:r>
      <w:r>
        <w:rPr>
          <w:rFonts w:hint="eastAsia" w:ascii="黑体" w:hAnsi="黑体" w:eastAsia="黑体" w:cs="黑体"/>
          <w:b w:val="0"/>
          <w:bCs/>
          <w:sz w:val="28"/>
          <w:szCs w:val="28"/>
        </w:rPr>
        <w:t>概况</w:t>
      </w:r>
    </w:p>
    <w:p w14:paraId="5BA00EA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4B4407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201C7209">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2D6BCC8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2DD4AD8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FB15AD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5B24B6F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A45FF7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44D31C7">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6B14C55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F2A970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BCFB8B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C294EC2">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ACBCCD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3E17D94">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71B3AC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0EA981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D051AC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1B6A81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54B4E4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786F7C1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7D1BC6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九、国有资本经营预算财政拨款</w:t>
      </w:r>
      <w:r>
        <w:rPr>
          <w:rFonts w:hint="eastAsia" w:ascii="仿宋_GB2312" w:hAnsi="仿宋_GB2312" w:eastAsia="仿宋_GB2312" w:cs="仿宋_GB2312"/>
          <w:color w:val="000000"/>
          <w:kern w:val="0"/>
          <w:sz w:val="28"/>
          <w:szCs w:val="28"/>
          <w:lang w:eastAsia="zh-CN"/>
        </w:rPr>
        <w:t>收入</w:t>
      </w:r>
      <w:r>
        <w:rPr>
          <w:rFonts w:hint="eastAsia" w:ascii="仿宋_GB2312" w:hAnsi="仿宋_GB2312" w:eastAsia="仿宋_GB2312" w:cs="仿宋_GB2312"/>
          <w:color w:val="000000"/>
          <w:kern w:val="0"/>
          <w:sz w:val="28"/>
          <w:szCs w:val="28"/>
        </w:rPr>
        <w:t>支出决算情况说明</w:t>
      </w:r>
    </w:p>
    <w:p w14:paraId="2211D42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十、关于机关运行经费支出说明</w:t>
      </w:r>
    </w:p>
    <w:p w14:paraId="3775679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十一、一般性支出情况说明</w:t>
      </w:r>
    </w:p>
    <w:p w14:paraId="7EE9890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w:t>
      </w:r>
      <w:r>
        <w:rPr>
          <w:rFonts w:hint="eastAsia" w:ascii="仿宋_GB2312" w:hAnsi="仿宋_GB2312" w:eastAsia="仿宋_GB2312" w:cs="仿宋_GB2312"/>
          <w:sz w:val="28"/>
          <w:szCs w:val="28"/>
        </w:rPr>
        <w:t>二</w:t>
      </w:r>
      <w:r>
        <w:rPr>
          <w:rFonts w:hint="eastAsia" w:ascii="仿宋_GB2312" w:hAnsi="仿宋_GB2312" w:eastAsia="仿宋_GB2312" w:cs="仿宋_GB2312"/>
          <w:color w:val="000000"/>
          <w:kern w:val="0"/>
          <w:sz w:val="28"/>
          <w:szCs w:val="28"/>
        </w:rPr>
        <w:t>、关于政府采购支出说明</w:t>
      </w:r>
    </w:p>
    <w:p w14:paraId="470B080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十三、关于国有资产占用情况说明</w:t>
      </w:r>
    </w:p>
    <w:p w14:paraId="243D29E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w:t>
      </w: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42172AC0">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10CE589">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71288E43">
      <w:pPr>
        <w:pStyle w:val="12"/>
        <w:spacing w:line="500" w:lineRule="exact"/>
        <w:rPr>
          <w:rFonts w:hint="eastAsia" w:ascii="黑体" w:hAnsi="黑体" w:eastAsia="黑体" w:cs="黑体"/>
          <w:b w:val="0"/>
          <w:bCs/>
          <w:sz w:val="28"/>
          <w:szCs w:val="28"/>
        </w:rPr>
      </w:pPr>
    </w:p>
    <w:p w14:paraId="73831FF1">
      <w:pPr>
        <w:jc w:val="center"/>
        <w:rPr>
          <w:sz w:val="72"/>
          <w:szCs w:val="72"/>
        </w:rPr>
      </w:pPr>
    </w:p>
    <w:p w14:paraId="143BBB9F">
      <w:pPr>
        <w:jc w:val="both"/>
        <w:rPr>
          <w:sz w:val="72"/>
          <w:szCs w:val="72"/>
        </w:rPr>
      </w:pPr>
    </w:p>
    <w:p w14:paraId="3BE87040">
      <w:pPr>
        <w:jc w:val="center"/>
        <w:rPr>
          <w:sz w:val="72"/>
          <w:szCs w:val="72"/>
        </w:rPr>
      </w:pPr>
    </w:p>
    <w:p w14:paraId="023D01FD">
      <w:pPr>
        <w:rPr>
          <w:rFonts w:hint="eastAsia" w:ascii="方正小标宋_GBK" w:hAnsi="方正小标宋_GBK" w:eastAsia="方正小标宋_GBK" w:cs="方正小标宋_GBK"/>
          <w:sz w:val="72"/>
          <w:szCs w:val="72"/>
        </w:rPr>
      </w:pPr>
    </w:p>
    <w:p w14:paraId="5B1D59AF">
      <w:pPr>
        <w:pStyle w:val="2"/>
        <w:rPr>
          <w:rFonts w:hint="eastAsia" w:ascii="方正小标宋_GBK" w:hAnsi="方正小标宋_GBK" w:eastAsia="方正小标宋_GBK" w:cs="方正小标宋_GBK"/>
          <w:sz w:val="72"/>
          <w:szCs w:val="72"/>
        </w:rPr>
      </w:pPr>
    </w:p>
    <w:p w14:paraId="7767E9D2">
      <w:pPr>
        <w:pStyle w:val="3"/>
        <w:rPr>
          <w:rFonts w:hint="eastAsia" w:ascii="方正小标宋_GBK" w:hAnsi="方正小标宋_GBK" w:eastAsia="方正小标宋_GBK" w:cs="方正小标宋_GBK"/>
          <w:sz w:val="72"/>
          <w:szCs w:val="72"/>
        </w:rPr>
      </w:pPr>
    </w:p>
    <w:p w14:paraId="17D1F50D">
      <w:pPr>
        <w:rPr>
          <w:rFonts w:hint="eastAsia" w:ascii="方正小标宋_GBK" w:hAnsi="方正小标宋_GBK" w:eastAsia="方正小标宋_GBK" w:cs="方正小标宋_GBK"/>
          <w:sz w:val="72"/>
          <w:szCs w:val="72"/>
        </w:rPr>
      </w:pPr>
    </w:p>
    <w:p w14:paraId="5ECA74C3">
      <w:pPr>
        <w:pStyle w:val="2"/>
        <w:rPr>
          <w:rFonts w:hint="eastAsia" w:ascii="方正小标宋_GBK" w:hAnsi="方正小标宋_GBK" w:eastAsia="方正小标宋_GBK" w:cs="方正小标宋_GBK"/>
          <w:sz w:val="72"/>
          <w:szCs w:val="72"/>
        </w:rPr>
      </w:pPr>
    </w:p>
    <w:p w14:paraId="2AB58DBC">
      <w:pPr>
        <w:pStyle w:val="3"/>
        <w:rPr>
          <w:rFonts w:hint="eastAsia" w:ascii="方正小标宋_GBK" w:hAnsi="方正小标宋_GBK" w:eastAsia="方正小标宋_GBK" w:cs="方正小标宋_GBK"/>
          <w:sz w:val="72"/>
          <w:szCs w:val="72"/>
        </w:rPr>
      </w:pPr>
    </w:p>
    <w:p w14:paraId="6DEB186D">
      <w:pPr>
        <w:rPr>
          <w:rFonts w:hint="eastAsia" w:ascii="方正小标宋_GBK" w:hAnsi="方正小标宋_GBK" w:eastAsia="方正小标宋_GBK" w:cs="方正小标宋_GBK"/>
          <w:sz w:val="72"/>
          <w:szCs w:val="72"/>
        </w:rPr>
      </w:pPr>
    </w:p>
    <w:p w14:paraId="4F1663FD">
      <w:pPr>
        <w:pStyle w:val="2"/>
        <w:rPr>
          <w:rFonts w:hint="eastAsia" w:ascii="方正小标宋_GBK" w:hAnsi="方正小标宋_GBK" w:eastAsia="方正小标宋_GBK" w:cs="方正小标宋_GBK"/>
          <w:sz w:val="72"/>
          <w:szCs w:val="72"/>
        </w:rPr>
      </w:pPr>
    </w:p>
    <w:p w14:paraId="78854E4D">
      <w:pPr>
        <w:pStyle w:val="3"/>
        <w:rPr>
          <w:rFonts w:hint="eastAsia" w:ascii="方正小标宋_GBK" w:hAnsi="方正小标宋_GBK" w:eastAsia="方正小标宋_GBK" w:cs="方正小标宋_GBK"/>
          <w:sz w:val="72"/>
          <w:szCs w:val="72"/>
        </w:rPr>
      </w:pPr>
    </w:p>
    <w:p w14:paraId="1E09FB35">
      <w:pPr>
        <w:rPr>
          <w:rFonts w:hint="eastAsia" w:ascii="方正小标宋_GBK" w:hAnsi="方正小标宋_GBK" w:eastAsia="方正小标宋_GBK" w:cs="方正小标宋_GBK"/>
          <w:sz w:val="72"/>
          <w:szCs w:val="72"/>
        </w:rPr>
      </w:pPr>
    </w:p>
    <w:p w14:paraId="77A455C8">
      <w:pPr>
        <w:pStyle w:val="2"/>
        <w:rPr>
          <w:rFonts w:hint="eastAsia" w:ascii="方正小标宋_GBK" w:hAnsi="方正小标宋_GBK" w:eastAsia="方正小标宋_GBK" w:cs="方正小标宋_GBK"/>
          <w:sz w:val="72"/>
          <w:szCs w:val="72"/>
        </w:rPr>
      </w:pPr>
    </w:p>
    <w:p w14:paraId="62AC6AFD">
      <w:pPr>
        <w:pStyle w:val="3"/>
        <w:rPr>
          <w:rFonts w:hint="eastAsia" w:ascii="方正小标宋_GBK" w:hAnsi="方正小标宋_GBK" w:eastAsia="方正小标宋_GBK" w:cs="方正小标宋_GBK"/>
          <w:sz w:val="72"/>
          <w:szCs w:val="72"/>
        </w:rPr>
      </w:pPr>
    </w:p>
    <w:p w14:paraId="1D08BF95">
      <w:pPr>
        <w:rPr>
          <w:rFonts w:hint="eastAsia" w:ascii="方正小标宋_GBK" w:hAnsi="方正小标宋_GBK" w:eastAsia="方正小标宋_GBK" w:cs="方正小标宋_GBK"/>
          <w:sz w:val="72"/>
          <w:szCs w:val="72"/>
        </w:rPr>
      </w:pPr>
    </w:p>
    <w:p w14:paraId="42891409">
      <w:pPr>
        <w:pStyle w:val="2"/>
        <w:rPr>
          <w:rFonts w:hint="eastAsia"/>
        </w:rPr>
      </w:pPr>
    </w:p>
    <w:p w14:paraId="50D6CAE4">
      <w:pPr>
        <w:pStyle w:val="2"/>
        <w:rPr>
          <w:rFonts w:hint="eastAsia"/>
        </w:rPr>
      </w:pPr>
    </w:p>
    <w:p w14:paraId="2B677D3E">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p>
    <w:p w14:paraId="307670F5">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湖南省怀化工业中等专业</w:t>
      </w:r>
    </w:p>
    <w:p w14:paraId="05F29820">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学校</w:t>
      </w:r>
      <w:r>
        <w:rPr>
          <w:rFonts w:hint="eastAsia" w:ascii="方正小标宋_GBK" w:hAnsi="方正小标宋_GBK" w:eastAsia="方正小标宋_GBK" w:cs="方正小标宋_GBK"/>
          <w:sz w:val="84"/>
          <w:szCs w:val="84"/>
        </w:rPr>
        <w:t>概况</w:t>
      </w:r>
    </w:p>
    <w:p w14:paraId="5B3C0AF2">
      <w:pPr>
        <w:jc w:val="center"/>
        <w:rPr>
          <w:rFonts w:hint="eastAsia" w:ascii="方正小标宋_GBK" w:hAnsi="方正小标宋_GBK" w:eastAsia="方正小标宋_GBK" w:cs="方正小标宋_GBK"/>
          <w:sz w:val="72"/>
          <w:szCs w:val="72"/>
        </w:rPr>
      </w:pPr>
    </w:p>
    <w:p w14:paraId="3F2DB989">
      <w:pPr>
        <w:jc w:val="center"/>
        <w:rPr>
          <w:rFonts w:hint="eastAsia" w:ascii="方正小标宋_GBK" w:hAnsi="方正小标宋_GBK" w:eastAsia="方正小标宋_GBK" w:cs="方正小标宋_GBK"/>
          <w:sz w:val="72"/>
          <w:szCs w:val="72"/>
        </w:rPr>
      </w:pPr>
    </w:p>
    <w:p w14:paraId="4D651E16">
      <w:pPr>
        <w:jc w:val="both"/>
        <w:rPr>
          <w:sz w:val="72"/>
          <w:szCs w:val="72"/>
        </w:rPr>
      </w:pPr>
    </w:p>
    <w:p w14:paraId="6836C55D">
      <w:pPr>
        <w:pStyle w:val="2"/>
        <w:rPr>
          <w:sz w:val="72"/>
          <w:szCs w:val="72"/>
        </w:rPr>
      </w:pPr>
    </w:p>
    <w:p w14:paraId="3E8B68FD">
      <w:pPr>
        <w:pStyle w:val="3"/>
      </w:pPr>
    </w:p>
    <w:p w14:paraId="2FAC5269">
      <w:pPr>
        <w:pStyle w:val="2"/>
      </w:pPr>
    </w:p>
    <w:p w14:paraId="57EA613A">
      <w:pPr>
        <w:pStyle w:val="3"/>
        <w:ind w:left="0" w:leftChars="0" w:firstLine="0" w:firstLineChars="0"/>
      </w:pPr>
    </w:p>
    <w:p w14:paraId="23961759">
      <w:pPr>
        <w:pStyle w:val="13"/>
        <w:keepNext w:val="0"/>
        <w:keepLines w:val="0"/>
        <w:pageBreakBefore w:val="0"/>
        <w:numPr>
          <w:ilvl w:val="0"/>
          <w:numId w:val="0"/>
        </w:numPr>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部门职责</w:t>
      </w:r>
    </w:p>
    <w:p w14:paraId="109D2CD5">
      <w:pPr>
        <w:keepNext w:val="0"/>
        <w:keepLines w:val="0"/>
        <w:pageBreakBefore w:val="0"/>
        <w:widowControl/>
        <w:kinsoku/>
        <w:wordWrap/>
        <w:overflowPunct/>
        <w:topLinePunct w:val="0"/>
        <w:autoSpaceDE/>
        <w:autoSpaceDN/>
        <w:bidi w:val="0"/>
        <w:adjustRightInd/>
        <w:snapToGrid/>
        <w:spacing w:line="600" w:lineRule="exact"/>
        <w:ind w:left="0" w:firstLine="640" w:firstLineChars="200"/>
        <w:textAlignment w:val="auto"/>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湖南省怀化工业中等专业学校（湖南省怀化工业高级技工学校）是一所公办全日制普通中等职业学校，是国家改革发展示范学校、国家级重点中等职业学校、国家级重点技工学校，湖南省卓越中等职业学校立项建设单位、省职业教育先进单位。</w:t>
      </w:r>
    </w:p>
    <w:p w14:paraId="5C1E212C">
      <w:pPr>
        <w:keepNext w:val="0"/>
        <w:keepLines w:val="0"/>
        <w:pageBreakBefore w:val="0"/>
        <w:widowControl/>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043AF2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Times New Roman" w:hAnsi="Times New Roman" w:eastAsia="仿宋_GB2312" w:cs="仿宋_GB2312"/>
          <w:bCs/>
          <w:kern w:val="0"/>
          <w:sz w:val="32"/>
          <w:szCs w:val="32"/>
        </w:rPr>
        <w:t>（一）内设机构设置。</w:t>
      </w:r>
      <w:r>
        <w:rPr>
          <w:rFonts w:hint="eastAsia" w:ascii="仿宋" w:hAnsi="仿宋" w:eastAsia="仿宋" w:cs="仿宋"/>
          <w:sz w:val="32"/>
          <w:szCs w:val="32"/>
        </w:rPr>
        <w:t>湖南省怀化工业中等专业学校</w:t>
      </w:r>
      <w:r>
        <w:rPr>
          <w:rFonts w:ascii="仿宋" w:hAnsi="仿宋" w:eastAsia="仿宋" w:cs="仿宋_GB2312"/>
          <w:color w:val="333333"/>
          <w:sz w:val="32"/>
          <w:szCs w:val="32"/>
          <w:shd w:val="clear" w:color="auto" w:fill="FFFFFF"/>
        </w:rPr>
        <w:t>作为一级部门预算单位</w:t>
      </w:r>
      <w:r>
        <w:rPr>
          <w:rFonts w:hint="eastAsia" w:ascii="仿宋" w:hAnsi="仿宋" w:eastAsia="仿宋" w:cs="仿宋_GB2312"/>
          <w:color w:val="333333"/>
          <w:sz w:val="32"/>
          <w:szCs w:val="32"/>
          <w:shd w:val="clear" w:color="auto" w:fill="FFFFFF"/>
          <w:lang w:eastAsia="zh-CN"/>
        </w:rPr>
        <w:t>，</w:t>
      </w:r>
      <w:r>
        <w:rPr>
          <w:rFonts w:hint="eastAsia" w:ascii="仿宋" w:hAnsi="仿宋" w:eastAsia="仿宋" w:cs="仿宋"/>
          <w:sz w:val="32"/>
          <w:szCs w:val="32"/>
        </w:rPr>
        <w:t>内设科室包括：</w:t>
      </w:r>
      <w:r>
        <w:rPr>
          <w:rFonts w:hint="eastAsia" w:ascii="仿宋" w:hAnsi="仿宋" w:eastAsia="仿宋" w:cs="仿宋"/>
          <w:sz w:val="32"/>
          <w:szCs w:val="32"/>
          <w:lang w:val="en-US" w:eastAsia="zh-CN"/>
        </w:rPr>
        <w:t>党政</w:t>
      </w:r>
      <w:r>
        <w:rPr>
          <w:rFonts w:hint="eastAsia" w:ascii="仿宋" w:hAnsi="仿宋" w:eastAsia="仿宋" w:cs="仿宋"/>
          <w:sz w:val="32"/>
          <w:szCs w:val="32"/>
        </w:rPr>
        <w:t>办公室、</w:t>
      </w:r>
      <w:r>
        <w:rPr>
          <w:rFonts w:hint="eastAsia" w:ascii="仿宋" w:hAnsi="仿宋" w:eastAsia="仿宋" w:cs="仿宋"/>
          <w:sz w:val="32"/>
          <w:szCs w:val="32"/>
          <w:lang w:val="en-US" w:eastAsia="zh-CN"/>
        </w:rPr>
        <w:t>组织</w:t>
      </w:r>
      <w:r>
        <w:rPr>
          <w:rFonts w:hint="eastAsia" w:ascii="仿宋" w:hAnsi="仿宋" w:eastAsia="仿宋" w:cs="仿宋"/>
          <w:sz w:val="32"/>
          <w:szCs w:val="32"/>
        </w:rPr>
        <w:t>人事</w:t>
      </w:r>
      <w:r>
        <w:rPr>
          <w:rFonts w:hint="eastAsia" w:ascii="仿宋" w:hAnsi="仿宋" w:eastAsia="仿宋" w:cs="仿宋"/>
          <w:sz w:val="32"/>
          <w:szCs w:val="32"/>
          <w:lang w:val="en-US" w:eastAsia="zh-CN"/>
        </w:rPr>
        <w:t>部</w:t>
      </w:r>
      <w:r>
        <w:rPr>
          <w:rFonts w:hint="eastAsia" w:ascii="仿宋" w:hAnsi="仿宋" w:eastAsia="仿宋" w:cs="仿宋"/>
          <w:sz w:val="32"/>
          <w:szCs w:val="32"/>
        </w:rPr>
        <w:t>、教务</w:t>
      </w:r>
      <w:r>
        <w:rPr>
          <w:rFonts w:hint="eastAsia" w:ascii="仿宋" w:hAnsi="仿宋" w:eastAsia="仿宋" w:cs="仿宋"/>
          <w:sz w:val="32"/>
          <w:szCs w:val="32"/>
          <w:lang w:val="en-US" w:eastAsia="zh-CN"/>
        </w:rPr>
        <w:t>部</w:t>
      </w:r>
      <w:r>
        <w:rPr>
          <w:rFonts w:hint="eastAsia" w:ascii="仿宋" w:hAnsi="仿宋" w:eastAsia="仿宋" w:cs="仿宋"/>
          <w:sz w:val="32"/>
          <w:szCs w:val="32"/>
        </w:rPr>
        <w:t>、学生</w:t>
      </w:r>
      <w:r>
        <w:rPr>
          <w:rFonts w:hint="eastAsia" w:ascii="仿宋" w:hAnsi="仿宋" w:eastAsia="仿宋" w:cs="仿宋"/>
          <w:sz w:val="32"/>
          <w:szCs w:val="32"/>
          <w:lang w:val="en-US" w:eastAsia="zh-CN"/>
        </w:rPr>
        <w:t>工作部</w:t>
      </w:r>
      <w:r>
        <w:rPr>
          <w:rFonts w:hint="eastAsia" w:ascii="仿宋" w:hAnsi="仿宋" w:eastAsia="仿宋" w:cs="仿宋"/>
          <w:sz w:val="32"/>
          <w:szCs w:val="32"/>
        </w:rPr>
        <w:t>、财务</w:t>
      </w:r>
      <w:r>
        <w:rPr>
          <w:rFonts w:hint="eastAsia" w:ascii="仿宋" w:hAnsi="仿宋" w:eastAsia="仿宋" w:cs="仿宋"/>
          <w:sz w:val="32"/>
          <w:szCs w:val="32"/>
          <w:lang w:val="en-US" w:eastAsia="zh-CN"/>
        </w:rPr>
        <w:t>部</w:t>
      </w:r>
      <w:r>
        <w:rPr>
          <w:rFonts w:hint="eastAsia" w:ascii="仿宋" w:hAnsi="仿宋" w:eastAsia="仿宋" w:cs="仿宋"/>
          <w:sz w:val="32"/>
          <w:szCs w:val="32"/>
        </w:rPr>
        <w:t>、保卫</w:t>
      </w:r>
      <w:r>
        <w:rPr>
          <w:rFonts w:hint="eastAsia" w:ascii="仿宋" w:hAnsi="仿宋" w:eastAsia="仿宋" w:cs="仿宋"/>
          <w:sz w:val="32"/>
          <w:szCs w:val="32"/>
          <w:lang w:val="en-US" w:eastAsia="zh-CN"/>
        </w:rPr>
        <w:t>部</w:t>
      </w:r>
      <w:r>
        <w:rPr>
          <w:rFonts w:hint="eastAsia" w:ascii="仿宋" w:hAnsi="仿宋" w:eastAsia="仿宋" w:cs="仿宋"/>
          <w:sz w:val="32"/>
          <w:szCs w:val="32"/>
        </w:rPr>
        <w:t>、</w:t>
      </w:r>
      <w:r>
        <w:rPr>
          <w:rFonts w:hint="eastAsia" w:ascii="仿宋" w:hAnsi="仿宋" w:eastAsia="仿宋" w:cs="仿宋"/>
          <w:sz w:val="32"/>
          <w:szCs w:val="32"/>
          <w:lang w:val="en-US" w:eastAsia="zh-CN"/>
        </w:rPr>
        <w:t>总务部</w:t>
      </w:r>
      <w:r>
        <w:rPr>
          <w:rFonts w:hint="eastAsia" w:ascii="仿宋" w:hAnsi="仿宋" w:eastAsia="仿宋" w:cs="仿宋"/>
          <w:sz w:val="32"/>
          <w:szCs w:val="32"/>
        </w:rPr>
        <w:t>。</w:t>
      </w:r>
    </w:p>
    <w:p w14:paraId="0D6FED08">
      <w:pPr>
        <w:keepNext w:val="0"/>
        <w:keepLines w:val="0"/>
        <w:pageBreakBefore w:val="0"/>
        <w:widowControl/>
        <w:kinsoku/>
        <w:wordWrap/>
        <w:overflowPunct/>
        <w:topLinePunct w:val="0"/>
        <w:autoSpaceDE/>
        <w:autoSpaceDN/>
        <w:bidi w:val="0"/>
        <w:adjustRightInd/>
        <w:snapToGrid/>
        <w:spacing w:line="600" w:lineRule="exact"/>
        <w:ind w:left="0" w:firstLine="640" w:firstLineChars="200"/>
        <w:textAlignment w:val="auto"/>
        <w:rPr>
          <w:rFonts w:hint="eastAsia" w:ascii="Times New Roman" w:hAnsi="Times New Roman" w:eastAsia="仿宋_GB2312" w:cs="仿宋_GB2312"/>
          <w:bCs/>
          <w:kern w:val="0"/>
          <w:sz w:val="32"/>
          <w:szCs w:val="32"/>
        </w:rPr>
      </w:pPr>
      <w:bookmarkStart w:id="0" w:name="_GoBack"/>
      <w:bookmarkEnd w:id="0"/>
      <w:r>
        <w:rPr>
          <w:rFonts w:hint="eastAsia" w:ascii="Times New Roman" w:hAnsi="Times New Roman" w:eastAsia="仿宋_GB2312" w:cs="仿宋_GB2312"/>
          <w:bCs/>
          <w:kern w:val="0"/>
          <w:sz w:val="32"/>
          <w:szCs w:val="32"/>
        </w:rPr>
        <w:t>（二）决算单位构成。</w:t>
      </w:r>
      <w:r>
        <w:rPr>
          <w:rFonts w:hint="eastAsia" w:ascii="仿宋" w:hAnsi="仿宋" w:eastAsia="仿宋" w:cs="仿宋"/>
          <w:sz w:val="32"/>
          <w:szCs w:val="32"/>
        </w:rPr>
        <w:t>湖南省怀化工业中等专业学校</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仿宋" w:hAnsi="仿宋" w:eastAsia="仿宋" w:cs="仿宋"/>
          <w:sz w:val="32"/>
          <w:szCs w:val="32"/>
        </w:rPr>
        <w:t>湖南省怀化工业中等专业学校</w:t>
      </w:r>
      <w:r>
        <w:rPr>
          <w:rFonts w:hint="eastAsia" w:ascii="仿宋" w:hAnsi="仿宋" w:eastAsia="仿宋" w:cs="仿宋"/>
          <w:sz w:val="32"/>
          <w:szCs w:val="32"/>
          <w:lang w:val="en-US" w:eastAsia="zh-CN"/>
        </w:rPr>
        <w:t>本级</w:t>
      </w:r>
      <w:r>
        <w:rPr>
          <w:rFonts w:hint="eastAsia" w:ascii="仿宋" w:hAnsi="仿宋" w:eastAsia="仿宋" w:cs="仿宋"/>
          <w:sz w:val="32"/>
          <w:szCs w:val="32"/>
          <w:lang w:eastAsia="zh-CN"/>
        </w:rPr>
        <w:t>。</w:t>
      </w:r>
    </w:p>
    <w:p w14:paraId="48F28FC1">
      <w:pPr>
        <w:jc w:val="left"/>
        <w:rPr>
          <w:rFonts w:ascii="仿宋_GB2312" w:eastAsia="仿宋_GB2312" w:hAnsiTheme="minorEastAsia"/>
          <w:sz w:val="28"/>
          <w:szCs w:val="32"/>
        </w:rPr>
      </w:pPr>
    </w:p>
    <w:p w14:paraId="0D5993C1">
      <w:pPr>
        <w:jc w:val="center"/>
        <w:rPr>
          <w:rFonts w:ascii="黑体" w:hAnsi="黑体" w:eastAsia="黑体"/>
          <w:sz w:val="28"/>
          <w:szCs w:val="28"/>
        </w:rPr>
      </w:pPr>
    </w:p>
    <w:p w14:paraId="631137F8">
      <w:pPr>
        <w:jc w:val="center"/>
        <w:rPr>
          <w:rFonts w:ascii="黑体" w:hAnsi="黑体" w:eastAsia="黑体"/>
          <w:sz w:val="28"/>
          <w:szCs w:val="28"/>
        </w:rPr>
      </w:pPr>
    </w:p>
    <w:p w14:paraId="52FB81DD">
      <w:pPr>
        <w:jc w:val="center"/>
        <w:rPr>
          <w:rFonts w:ascii="黑体" w:hAnsi="黑体" w:eastAsia="黑体"/>
          <w:sz w:val="28"/>
          <w:szCs w:val="28"/>
        </w:rPr>
      </w:pPr>
    </w:p>
    <w:p w14:paraId="58B7304B">
      <w:pPr>
        <w:jc w:val="center"/>
        <w:rPr>
          <w:rFonts w:ascii="黑体" w:hAnsi="黑体" w:eastAsia="黑体"/>
          <w:sz w:val="28"/>
          <w:szCs w:val="28"/>
        </w:rPr>
      </w:pPr>
    </w:p>
    <w:p w14:paraId="37C84D56">
      <w:pPr>
        <w:jc w:val="center"/>
        <w:rPr>
          <w:rFonts w:ascii="黑体" w:hAnsi="黑体" w:eastAsia="黑体"/>
          <w:sz w:val="28"/>
          <w:szCs w:val="28"/>
        </w:rPr>
      </w:pPr>
    </w:p>
    <w:p w14:paraId="6A5B40A2">
      <w:pPr>
        <w:jc w:val="center"/>
        <w:rPr>
          <w:rFonts w:ascii="黑体" w:hAnsi="黑体" w:eastAsia="黑体"/>
          <w:sz w:val="28"/>
          <w:szCs w:val="28"/>
        </w:rPr>
      </w:pPr>
    </w:p>
    <w:p w14:paraId="7B2AD2CC">
      <w:pPr>
        <w:jc w:val="center"/>
        <w:rPr>
          <w:rFonts w:ascii="黑体" w:hAnsi="黑体" w:eastAsia="黑体"/>
          <w:sz w:val="28"/>
          <w:szCs w:val="28"/>
        </w:rPr>
      </w:pPr>
    </w:p>
    <w:p w14:paraId="38212F05">
      <w:pPr>
        <w:jc w:val="center"/>
        <w:rPr>
          <w:rFonts w:ascii="黑体" w:hAnsi="黑体" w:eastAsia="黑体"/>
          <w:sz w:val="28"/>
          <w:szCs w:val="28"/>
        </w:rPr>
      </w:pPr>
    </w:p>
    <w:p w14:paraId="34C04459">
      <w:pPr>
        <w:jc w:val="center"/>
        <w:rPr>
          <w:rFonts w:ascii="黑体" w:hAnsi="黑体" w:eastAsia="黑体"/>
          <w:sz w:val="28"/>
          <w:szCs w:val="28"/>
        </w:rPr>
      </w:pPr>
    </w:p>
    <w:p w14:paraId="04E3180A">
      <w:pPr>
        <w:jc w:val="center"/>
        <w:rPr>
          <w:rFonts w:ascii="黑体" w:hAnsi="黑体" w:eastAsia="黑体"/>
          <w:sz w:val="28"/>
          <w:szCs w:val="28"/>
        </w:rPr>
      </w:pPr>
    </w:p>
    <w:p w14:paraId="20F9FBBF">
      <w:pPr>
        <w:jc w:val="center"/>
        <w:rPr>
          <w:rFonts w:ascii="黑体" w:hAnsi="黑体" w:eastAsia="黑体"/>
          <w:sz w:val="28"/>
          <w:szCs w:val="28"/>
        </w:rPr>
      </w:pPr>
    </w:p>
    <w:p w14:paraId="2CA49B8F">
      <w:pPr>
        <w:jc w:val="both"/>
        <w:rPr>
          <w:sz w:val="72"/>
          <w:szCs w:val="72"/>
        </w:rPr>
      </w:pPr>
    </w:p>
    <w:p w14:paraId="47D2BCB1">
      <w:pPr>
        <w:jc w:val="center"/>
        <w:rPr>
          <w:sz w:val="72"/>
          <w:szCs w:val="72"/>
        </w:rPr>
      </w:pPr>
    </w:p>
    <w:p w14:paraId="19DECA51">
      <w:pPr>
        <w:jc w:val="center"/>
        <w:rPr>
          <w:sz w:val="72"/>
          <w:szCs w:val="72"/>
        </w:rPr>
      </w:pPr>
    </w:p>
    <w:p w14:paraId="395C009F">
      <w:pPr>
        <w:pStyle w:val="12"/>
        <w:jc w:val="center"/>
        <w:rPr>
          <w:rFonts w:hint="eastAsia" w:ascii="方正小标宋_GBK" w:hAnsi="方正小标宋_GBK" w:eastAsia="方正小标宋_GBK" w:cs="方正小标宋_GBK"/>
          <w:sz w:val="84"/>
          <w:szCs w:val="84"/>
        </w:rPr>
      </w:pPr>
    </w:p>
    <w:p w14:paraId="0C6FA04F">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67689C92">
      <w:pPr>
        <w:pStyle w:val="12"/>
        <w:jc w:val="center"/>
        <w:rPr>
          <w:rFonts w:hint="eastAsia" w:ascii="方正小标宋_GBK" w:hAnsi="方正小标宋_GBK" w:eastAsia="方正小标宋_GBK" w:cs="方正小标宋_GBK"/>
          <w:sz w:val="84"/>
          <w:szCs w:val="84"/>
        </w:rPr>
      </w:pPr>
    </w:p>
    <w:p w14:paraId="3F48A8E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46D15607">
      <w:pPr>
        <w:jc w:val="center"/>
        <w:rPr>
          <w:sz w:val="72"/>
          <w:szCs w:val="72"/>
        </w:rPr>
      </w:pPr>
    </w:p>
    <w:p w14:paraId="6753DBCB">
      <w:pPr>
        <w:pStyle w:val="2"/>
        <w:ind w:firstLine="4320" w:firstLineChars="600"/>
        <w:rPr>
          <w:rFonts w:hint="eastAsia" w:eastAsiaTheme="minorEastAsia"/>
          <w:lang w:val="en-US" w:eastAsia="zh-CN"/>
        </w:rPr>
      </w:pPr>
      <w:r>
        <w:rPr>
          <w:rFonts w:hint="eastAsia"/>
          <w:sz w:val="72"/>
          <w:szCs w:val="72"/>
          <w:lang w:val="en-US" w:eastAsia="zh-CN"/>
        </w:rPr>
        <w:t>见附件</w:t>
      </w:r>
    </w:p>
    <w:p w14:paraId="525F3417">
      <w:pPr>
        <w:jc w:val="center"/>
        <w:rPr>
          <w:sz w:val="72"/>
          <w:szCs w:val="72"/>
        </w:rPr>
      </w:pPr>
    </w:p>
    <w:p w14:paraId="1B77E653">
      <w:pPr>
        <w:jc w:val="center"/>
        <w:rPr>
          <w:sz w:val="72"/>
          <w:szCs w:val="72"/>
        </w:rPr>
      </w:pPr>
    </w:p>
    <w:p w14:paraId="3560B614">
      <w:pPr>
        <w:jc w:val="center"/>
        <w:rPr>
          <w:sz w:val="72"/>
          <w:szCs w:val="72"/>
        </w:rPr>
      </w:pPr>
    </w:p>
    <w:p w14:paraId="1F2A070F">
      <w:pPr>
        <w:jc w:val="center"/>
        <w:rPr>
          <w:sz w:val="72"/>
          <w:szCs w:val="72"/>
        </w:rPr>
      </w:pPr>
    </w:p>
    <w:p w14:paraId="09E53E4D">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p w14:paraId="6EBED642">
      <w:pPr>
        <w:pStyle w:val="12"/>
        <w:rPr>
          <w:sz w:val="72"/>
          <w:szCs w:val="72"/>
        </w:rPr>
      </w:pPr>
    </w:p>
    <w:p w14:paraId="6FD7100F">
      <w:pPr>
        <w:pStyle w:val="12"/>
        <w:rPr>
          <w:sz w:val="72"/>
          <w:szCs w:val="72"/>
        </w:rPr>
      </w:pPr>
    </w:p>
    <w:p w14:paraId="34EF4EFB">
      <w:pPr>
        <w:pStyle w:val="12"/>
        <w:jc w:val="both"/>
        <w:rPr>
          <w:sz w:val="72"/>
          <w:szCs w:val="72"/>
        </w:rPr>
      </w:pPr>
    </w:p>
    <w:p w14:paraId="58F2ABBB">
      <w:pPr>
        <w:pStyle w:val="12"/>
        <w:jc w:val="both"/>
        <w:rPr>
          <w:sz w:val="72"/>
          <w:szCs w:val="72"/>
        </w:rPr>
      </w:pPr>
    </w:p>
    <w:p w14:paraId="08A2D19A">
      <w:pPr>
        <w:pStyle w:val="12"/>
        <w:jc w:val="center"/>
        <w:rPr>
          <w:rFonts w:hint="eastAsia" w:ascii="方正小标宋_GBK" w:hAnsi="方正小标宋_GBK" w:eastAsia="方正小标宋_GBK" w:cs="方正小标宋_GBK"/>
          <w:sz w:val="72"/>
          <w:szCs w:val="72"/>
        </w:rPr>
      </w:pPr>
    </w:p>
    <w:p w14:paraId="01A120B4">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4CA28B71">
      <w:pPr>
        <w:pStyle w:val="12"/>
        <w:jc w:val="center"/>
        <w:rPr>
          <w:rFonts w:hint="eastAsia" w:ascii="方正小标宋_GBK" w:hAnsi="方正小标宋_GBK" w:eastAsia="方正小标宋_GBK" w:cs="方正小标宋_GBK"/>
          <w:sz w:val="70"/>
          <w:szCs w:val="70"/>
        </w:rPr>
      </w:pPr>
    </w:p>
    <w:p w14:paraId="34EB65C2">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72481E73">
      <w:pPr>
        <w:pStyle w:val="12"/>
        <w:jc w:val="center"/>
        <w:rPr>
          <w:rFonts w:hint="eastAsia" w:ascii="方正小标宋_GBK" w:hAnsi="方正小标宋_GBK" w:eastAsia="方正小标宋_GBK" w:cs="方正小标宋_GBK"/>
          <w:sz w:val="70"/>
          <w:szCs w:val="70"/>
        </w:rPr>
      </w:pPr>
    </w:p>
    <w:p w14:paraId="7EEE2AE1">
      <w:pPr>
        <w:pStyle w:val="12"/>
        <w:jc w:val="center"/>
        <w:rPr>
          <w:rFonts w:hint="eastAsia" w:ascii="方正小标宋_GBK" w:hAnsi="方正小标宋_GBK" w:eastAsia="方正小标宋_GBK" w:cs="方正小标宋_GBK"/>
          <w:sz w:val="70"/>
          <w:szCs w:val="70"/>
        </w:rPr>
      </w:pPr>
    </w:p>
    <w:p w14:paraId="44111EFD">
      <w:pPr>
        <w:pStyle w:val="12"/>
        <w:jc w:val="center"/>
        <w:rPr>
          <w:rFonts w:hint="eastAsia" w:ascii="方正小标宋_GBK" w:hAnsi="方正小标宋_GBK" w:eastAsia="方正小标宋_GBK" w:cs="方正小标宋_GBK"/>
          <w:sz w:val="70"/>
          <w:szCs w:val="70"/>
        </w:rPr>
      </w:pPr>
    </w:p>
    <w:p w14:paraId="5DEDDCD3">
      <w:pPr>
        <w:pStyle w:val="12"/>
        <w:jc w:val="center"/>
        <w:rPr>
          <w:rFonts w:hint="eastAsia" w:ascii="方正小标宋_GBK" w:hAnsi="方正小标宋_GBK" w:eastAsia="方正小标宋_GBK" w:cs="方正小标宋_GBK"/>
          <w:sz w:val="70"/>
          <w:szCs w:val="70"/>
        </w:rPr>
      </w:pPr>
    </w:p>
    <w:p w14:paraId="26FC4A6D">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2AB19FE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8EA2CC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年度收、支总计5686.48万元。与上年相比，增加</w:t>
      </w:r>
      <w:r>
        <w:rPr>
          <w:rFonts w:hint="eastAsia" w:ascii="Times New Roman" w:hAnsi="Times New Roman" w:eastAsia="仿宋_GB2312"/>
          <w:sz w:val="32"/>
          <w:szCs w:val="32"/>
          <w:lang w:val="en-US" w:eastAsia="zh-CN"/>
        </w:rPr>
        <w:t>989.05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21.06</w:t>
      </w:r>
      <w:r>
        <w:rPr>
          <w:rFonts w:hint="eastAsia" w:ascii="Times New Roman" w:hAnsi="Times New Roman" w:eastAsia="仿宋_GB2312"/>
          <w:sz w:val="32"/>
          <w:szCs w:val="32"/>
        </w:rPr>
        <w:t>%，主要</w:t>
      </w:r>
      <w:r>
        <w:rPr>
          <w:rFonts w:hint="eastAsia" w:ascii="Times New Roman" w:hAnsi="Times New Roman" w:eastAsia="仿宋_GB2312"/>
          <w:sz w:val="32"/>
          <w:szCs w:val="32"/>
          <w:highlight w:val="none"/>
        </w:rPr>
        <w:t>是因为教育</w:t>
      </w:r>
      <w:r>
        <w:rPr>
          <w:rFonts w:hint="eastAsia" w:ascii="Times New Roman" w:hAnsi="Times New Roman" w:eastAsia="仿宋_GB2312"/>
          <w:sz w:val="32"/>
          <w:szCs w:val="32"/>
        </w:rPr>
        <w:t>支出</w:t>
      </w:r>
      <w:r>
        <w:rPr>
          <w:rFonts w:hint="eastAsia" w:ascii="Times New Roman" w:hAnsi="Times New Roman" w:eastAsia="仿宋_GB2312"/>
          <w:sz w:val="32"/>
          <w:szCs w:val="32"/>
          <w:lang w:val="en-US" w:eastAsia="zh-CN"/>
        </w:rPr>
        <w:t>经费增加。</w:t>
      </w:r>
    </w:p>
    <w:p w14:paraId="33FF328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0EB515F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年度收入合计5686.48万元，其中：财政拨款收入4775.54万元，占</w:t>
      </w:r>
      <w:r>
        <w:rPr>
          <w:rFonts w:hint="eastAsia" w:ascii="Times New Roman" w:hAnsi="Times New Roman" w:eastAsia="仿宋_GB2312"/>
          <w:sz w:val="32"/>
          <w:szCs w:val="32"/>
          <w:lang w:val="en-US" w:eastAsia="zh-CN"/>
        </w:rPr>
        <w:t>83.98</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%；事业收入463.69万元，占</w:t>
      </w:r>
      <w:r>
        <w:rPr>
          <w:rFonts w:hint="eastAsia" w:ascii="Times New Roman" w:hAnsi="Times New Roman" w:eastAsia="仿宋_GB2312"/>
          <w:sz w:val="32"/>
          <w:szCs w:val="32"/>
          <w:lang w:val="en-US" w:eastAsia="zh-CN"/>
        </w:rPr>
        <w:t>8.15</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%；其他收入447.25万元，占</w:t>
      </w:r>
      <w:r>
        <w:rPr>
          <w:rFonts w:hint="eastAsia" w:ascii="Times New Roman" w:hAnsi="Times New Roman" w:eastAsia="仿宋_GB2312"/>
          <w:sz w:val="32"/>
          <w:szCs w:val="32"/>
          <w:lang w:val="en-US" w:eastAsia="zh-CN"/>
        </w:rPr>
        <w:t>7.87</w:t>
      </w:r>
      <w:r>
        <w:rPr>
          <w:rFonts w:hint="eastAsia" w:ascii="Times New Roman" w:hAnsi="Times New Roman" w:eastAsia="仿宋_GB2312"/>
          <w:sz w:val="32"/>
          <w:szCs w:val="32"/>
        </w:rPr>
        <w:t>%。</w:t>
      </w:r>
    </w:p>
    <w:p w14:paraId="7254A96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144D06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年度支出合计5686.48万元，其中：基本支出2549.03万元，占</w:t>
      </w:r>
      <w:r>
        <w:rPr>
          <w:rFonts w:hint="eastAsia" w:ascii="Times New Roman" w:hAnsi="Times New Roman" w:eastAsia="仿宋_GB2312"/>
          <w:sz w:val="32"/>
          <w:szCs w:val="32"/>
          <w:lang w:val="en-US" w:eastAsia="zh-CN"/>
        </w:rPr>
        <w:t>44.83</w:t>
      </w:r>
      <w:r>
        <w:rPr>
          <w:rFonts w:hint="eastAsia" w:ascii="Times New Roman" w:hAnsi="Times New Roman" w:eastAsia="仿宋_GB2312"/>
          <w:sz w:val="32"/>
          <w:szCs w:val="32"/>
        </w:rPr>
        <w:t>%；项目支出3137.45万元，占</w:t>
      </w:r>
      <w:r>
        <w:rPr>
          <w:rFonts w:hint="eastAsia" w:ascii="Times New Roman" w:hAnsi="Times New Roman" w:eastAsia="仿宋_GB2312"/>
          <w:sz w:val="32"/>
          <w:szCs w:val="32"/>
          <w:lang w:val="en-US" w:eastAsia="zh-CN"/>
        </w:rPr>
        <w:t>55.17</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7E92F3D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3914D64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年度财政拨款收、支总计4775.54万元，与上年相比，增加</w:t>
      </w:r>
      <w:r>
        <w:rPr>
          <w:rFonts w:hint="eastAsia" w:ascii="Times New Roman" w:hAnsi="Times New Roman" w:eastAsia="仿宋_GB2312"/>
          <w:sz w:val="32"/>
          <w:szCs w:val="32"/>
          <w:lang w:val="en-US" w:eastAsia="zh-CN"/>
        </w:rPr>
        <w:t>978.72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增长</w:t>
      </w:r>
      <w:r>
        <w:rPr>
          <w:rFonts w:hint="eastAsia" w:ascii="Times New Roman" w:hAnsi="Times New Roman" w:eastAsia="仿宋_GB2312"/>
          <w:sz w:val="32"/>
          <w:szCs w:val="32"/>
          <w:lang w:val="en-US" w:eastAsia="zh-CN"/>
        </w:rPr>
        <w:t>25.78</w:t>
      </w:r>
      <w:r>
        <w:rPr>
          <w:rFonts w:hint="eastAsia" w:ascii="Times New Roman" w:hAnsi="Times New Roman" w:eastAsia="仿宋_GB2312"/>
          <w:sz w:val="32"/>
          <w:szCs w:val="32"/>
        </w:rPr>
        <w:t>%，主要</w:t>
      </w:r>
      <w:r>
        <w:rPr>
          <w:rFonts w:hint="eastAsia" w:ascii="Times New Roman" w:hAnsi="Times New Roman" w:eastAsia="仿宋_GB2312"/>
          <w:sz w:val="32"/>
          <w:szCs w:val="32"/>
          <w:highlight w:val="none"/>
        </w:rPr>
        <w:t>是因为教育支</w:t>
      </w:r>
      <w:r>
        <w:rPr>
          <w:rFonts w:hint="eastAsia" w:ascii="Times New Roman" w:hAnsi="Times New Roman" w:eastAsia="仿宋_GB2312"/>
          <w:sz w:val="32"/>
          <w:szCs w:val="32"/>
        </w:rPr>
        <w:t>出</w:t>
      </w:r>
      <w:r>
        <w:rPr>
          <w:rFonts w:hint="eastAsia" w:ascii="Times New Roman" w:hAnsi="Times New Roman" w:eastAsia="仿宋_GB2312"/>
          <w:sz w:val="32"/>
          <w:szCs w:val="32"/>
          <w:lang w:val="en-US" w:eastAsia="zh-CN"/>
        </w:rPr>
        <w:t>经费增加。</w:t>
      </w:r>
    </w:p>
    <w:p w14:paraId="3B49FE2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DBF8A73">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6F1ADD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年度财政拨款支出4775.54万元，占本年支出合计的</w:t>
      </w:r>
      <w:r>
        <w:rPr>
          <w:rFonts w:hint="eastAsia" w:ascii="Times New Roman" w:hAnsi="Times New Roman" w:eastAsia="仿宋_GB2312"/>
          <w:sz w:val="32"/>
          <w:szCs w:val="32"/>
          <w:lang w:val="en-US" w:eastAsia="zh-CN"/>
        </w:rPr>
        <w:t>83.98</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978.72</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25.78</w:t>
      </w:r>
      <w:r>
        <w:rPr>
          <w:rFonts w:hint="eastAsia" w:ascii="Times New Roman" w:hAnsi="Times New Roman" w:eastAsia="仿宋_GB2312"/>
          <w:sz w:val="32"/>
          <w:szCs w:val="32"/>
        </w:rPr>
        <w:t>%，主要是</w:t>
      </w:r>
      <w:r>
        <w:rPr>
          <w:rFonts w:hint="eastAsia" w:ascii="Times New Roman" w:hAnsi="Times New Roman" w:eastAsia="仿宋_GB2312"/>
          <w:sz w:val="32"/>
          <w:szCs w:val="32"/>
          <w:highlight w:val="none"/>
        </w:rPr>
        <w:t>因为教育支</w:t>
      </w:r>
      <w:r>
        <w:rPr>
          <w:rFonts w:hint="eastAsia" w:ascii="Times New Roman" w:hAnsi="Times New Roman" w:eastAsia="仿宋_GB2312"/>
          <w:sz w:val="32"/>
          <w:szCs w:val="32"/>
        </w:rPr>
        <w:t>出</w:t>
      </w:r>
      <w:r>
        <w:rPr>
          <w:rFonts w:hint="eastAsia" w:ascii="Times New Roman" w:hAnsi="Times New Roman" w:eastAsia="仿宋_GB2312"/>
          <w:sz w:val="32"/>
          <w:szCs w:val="32"/>
          <w:lang w:val="en-US" w:eastAsia="zh-CN"/>
        </w:rPr>
        <w:t>经费增加。</w:t>
      </w:r>
    </w:p>
    <w:p w14:paraId="37BBF96C">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6D4402E5">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年度财政拨款支出4775.54万元，主要用于以下方面：一般公共服务（类）支出17.8万元，占</w:t>
      </w:r>
      <w:r>
        <w:rPr>
          <w:rFonts w:hint="eastAsia" w:ascii="Times New Roman" w:hAnsi="Times New Roman" w:eastAsia="仿宋_GB2312"/>
          <w:sz w:val="32"/>
          <w:szCs w:val="32"/>
          <w:lang w:val="en-US" w:eastAsia="zh-CN"/>
        </w:rPr>
        <w:t>0.37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教育（类）支出4422.71万元，占</w:t>
      </w:r>
      <w:r>
        <w:rPr>
          <w:rFonts w:hint="eastAsia" w:ascii="Times New Roman" w:hAnsi="Times New Roman" w:eastAsia="仿宋_GB2312"/>
          <w:sz w:val="32"/>
          <w:szCs w:val="32"/>
          <w:lang w:val="en-US" w:eastAsia="zh-CN"/>
        </w:rPr>
        <w:t>92.61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）支出224.84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4.71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卫生健康（类</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110.18万元，占</w:t>
      </w:r>
      <w:r>
        <w:rPr>
          <w:rFonts w:hint="eastAsia" w:ascii="Times New Roman" w:hAnsi="Times New Roman" w:eastAsia="仿宋_GB2312"/>
          <w:sz w:val="32"/>
          <w:szCs w:val="32"/>
          <w:lang w:val="en-US" w:eastAsia="zh-CN"/>
        </w:rPr>
        <w:t>2.31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E1BDF38">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770F1643">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w:t>
      </w:r>
      <w:r>
        <w:rPr>
          <w:rFonts w:hint="eastAsia" w:ascii="Times New Roman" w:hAnsi="Times New Roman" w:eastAsia="仿宋_GB2312"/>
          <w:sz w:val="32"/>
          <w:szCs w:val="32"/>
          <w:highlight w:val="none"/>
        </w:rPr>
        <w:t>支出年初预算数为13286.9万元</w:t>
      </w:r>
      <w:r>
        <w:rPr>
          <w:rFonts w:hint="eastAsia" w:ascii="Times New Roman" w:hAnsi="Times New Roman" w:eastAsia="仿宋_GB2312"/>
          <w:sz w:val="32"/>
          <w:szCs w:val="32"/>
        </w:rPr>
        <w:t>，支出决算数为4775.54万元，完成年初预算的</w:t>
      </w:r>
      <w:r>
        <w:rPr>
          <w:rFonts w:hint="eastAsia" w:ascii="Times New Roman" w:hAnsi="Times New Roman" w:eastAsia="仿宋_GB2312"/>
          <w:sz w:val="32"/>
          <w:szCs w:val="32"/>
          <w:lang w:val="en-US" w:eastAsia="zh-CN"/>
        </w:rPr>
        <w:t>35.94</w:t>
      </w:r>
      <w:r>
        <w:rPr>
          <w:rFonts w:hint="eastAsia" w:ascii="Times New Roman" w:hAnsi="Times New Roman" w:eastAsia="仿宋_GB2312"/>
          <w:sz w:val="32"/>
          <w:szCs w:val="32"/>
        </w:rPr>
        <w:t>%，其中：</w:t>
      </w:r>
    </w:p>
    <w:p w14:paraId="7992612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1、一般公共服务（类）组织事务（款）其他组织事务支出（项）。</w:t>
      </w:r>
    </w:p>
    <w:p w14:paraId="0BF09FD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万元，支出决算为17.8万元，由于预算数为0，无法计算百分比，决算数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追加</w:t>
      </w:r>
      <w:r>
        <w:rPr>
          <w:rFonts w:hint="eastAsia" w:ascii="Times New Roman" w:hAnsi="Times New Roman" w:eastAsia="仿宋_GB2312"/>
          <w:sz w:val="32"/>
          <w:szCs w:val="32"/>
          <w:highlight w:val="none"/>
        </w:rPr>
        <w:t>人才资源开展专项资金</w:t>
      </w:r>
      <w:r>
        <w:rPr>
          <w:rFonts w:hint="eastAsia" w:ascii="Times New Roman" w:hAnsi="Times New Roman" w:eastAsia="仿宋_GB2312"/>
          <w:sz w:val="32"/>
          <w:szCs w:val="32"/>
          <w:highlight w:val="none"/>
          <w:lang w:val="en-US" w:eastAsia="zh-CN"/>
        </w:rPr>
        <w:t>17.8万元。</w:t>
      </w:r>
    </w:p>
    <w:p w14:paraId="3EC8BF2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2、教育支出（类）职业教育（款）中等职业教育（项）。</w:t>
      </w:r>
    </w:p>
    <w:p w14:paraId="5FF7DD0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年初预算为12493.54万元，支出决算为4266.61万元，完成年初预算的</w:t>
      </w:r>
      <w:r>
        <w:rPr>
          <w:rFonts w:hint="eastAsia" w:ascii="Times New Roman" w:hAnsi="Times New Roman" w:eastAsia="仿宋_GB2312"/>
          <w:sz w:val="32"/>
          <w:szCs w:val="32"/>
          <w:lang w:val="en-US" w:eastAsia="zh-CN"/>
        </w:rPr>
        <w:t>34.15</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val="en-US" w:eastAsia="zh-CN"/>
        </w:rPr>
        <w:t>项目经费减少。</w:t>
      </w:r>
    </w:p>
    <w:p w14:paraId="7889DC7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教育支出（类）职业教育（款）其他职业教育支出（项）。</w:t>
      </w:r>
    </w:p>
    <w:p w14:paraId="1432FCD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万元，支出决算为156.1万元，由于预算数为0，无法计算百分比，决算数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highlight w:val="none"/>
          <w:lang w:val="en-US" w:eastAsia="zh-CN"/>
        </w:rPr>
        <w:t>预决算下达的功能口径不一致。</w:t>
      </w:r>
    </w:p>
    <w:p w14:paraId="3EA0B26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社会保障和就业支出（类）行政事业单位养老支出（款）机关事业单位基本养老保险缴费支出（项）。</w:t>
      </w:r>
    </w:p>
    <w:p w14:paraId="5D88B98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rPr>
        <w:t>年初预算为217.9万元，支出决算为215.25万元，完成年初预算的</w:t>
      </w:r>
      <w:r>
        <w:rPr>
          <w:rFonts w:hint="eastAsia" w:ascii="Times New Roman" w:hAnsi="Times New Roman" w:eastAsia="仿宋_GB2312"/>
          <w:sz w:val="32"/>
          <w:szCs w:val="32"/>
          <w:lang w:val="en-US" w:eastAsia="zh-CN"/>
        </w:rPr>
        <w:t>98.78</w:t>
      </w:r>
      <w:r>
        <w:rPr>
          <w:rFonts w:hint="eastAsia" w:ascii="Times New Roman" w:hAnsi="Times New Roman" w:eastAsia="仿宋_GB2312"/>
          <w:sz w:val="32"/>
          <w:szCs w:val="32"/>
        </w:rPr>
        <w:t>%，决算数小于年初预算数的</w:t>
      </w:r>
      <w:r>
        <w:rPr>
          <w:rFonts w:hint="eastAsia" w:ascii="Times New Roman" w:hAnsi="Times New Roman" w:eastAsia="仿宋_GB2312"/>
          <w:sz w:val="32"/>
          <w:szCs w:val="32"/>
          <w:highlight w:val="none"/>
        </w:rPr>
        <w:t>主要原因是：</w:t>
      </w:r>
      <w:r>
        <w:rPr>
          <w:rFonts w:hint="eastAsia" w:ascii="Times New Roman" w:hAnsi="Times New Roman" w:eastAsia="仿宋_GB2312"/>
          <w:sz w:val="32"/>
          <w:szCs w:val="32"/>
          <w:highlight w:val="none"/>
          <w:lang w:val="en-US" w:eastAsia="zh-CN"/>
        </w:rPr>
        <w:t>本年度存在退休人员。</w:t>
      </w:r>
    </w:p>
    <w:p w14:paraId="358EF6C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社会保障和就业支出（类）就业补助（款）其他就业补助支出（项）。</w:t>
      </w:r>
    </w:p>
    <w:p w14:paraId="29B55F2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万元，支出决算为9.59万元，由于预算数为0，无法计算百分比，决算数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highlight w:val="none"/>
          <w:lang w:val="en-US" w:eastAsia="zh-CN"/>
        </w:rPr>
        <w:t>预决算下达的功能口径不一致。</w:t>
      </w:r>
    </w:p>
    <w:p w14:paraId="6D70502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卫生健康支出（类）公共卫生（款）突发公共卫生事件应急处理（项）。</w:t>
      </w:r>
    </w:p>
    <w:p w14:paraId="1313836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万元，支出决算为2.56万元由于预算数为0，无法计算百分比，决算数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为追加的抗疫补助资金。</w:t>
      </w:r>
    </w:p>
    <w:p w14:paraId="4B49370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卫生健康支出（类）行政事业单位医疗（款）事业单位医疗（项）。</w:t>
      </w:r>
    </w:p>
    <w:p w14:paraId="5EBA83B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万元，支出决算为107.62万元，由于预算数为0，无法计算百分比，决算数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highlight w:val="none"/>
          <w:lang w:val="en-US" w:eastAsia="zh-CN"/>
        </w:rPr>
        <w:t>预决算下达的功能口径不一致。</w:t>
      </w:r>
    </w:p>
    <w:p w14:paraId="2D13E4D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621D6D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年度财政拨款基本支出1788.09万元，其中：</w:t>
      </w:r>
    </w:p>
    <w:p w14:paraId="445F9A5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1786.1万元，占基本支出的</w:t>
      </w:r>
      <w:r>
        <w:rPr>
          <w:rFonts w:hint="eastAsia" w:ascii="Times New Roman" w:hAnsi="Times New Roman" w:eastAsia="仿宋_GB2312"/>
          <w:sz w:val="32"/>
          <w:szCs w:val="32"/>
          <w:lang w:val="en-US" w:eastAsia="zh-CN"/>
        </w:rPr>
        <w:t>99.89</w:t>
      </w:r>
      <w:r>
        <w:rPr>
          <w:rFonts w:hint="eastAsia" w:ascii="Times New Roman" w:hAnsi="Times New Roman" w:eastAsia="仿宋_GB2312"/>
          <w:sz w:val="32"/>
          <w:szCs w:val="32"/>
        </w:rPr>
        <w:t>%,主要包括基本工资、津贴补贴、奖金、绩效工资</w:t>
      </w:r>
      <w:r>
        <w:rPr>
          <w:rFonts w:hint="eastAsia" w:ascii="Times New Roman" w:hAnsi="Times New Roman" w:eastAsia="仿宋_GB2312"/>
          <w:sz w:val="32"/>
          <w:szCs w:val="32"/>
          <w:lang w:eastAsia="zh-CN"/>
        </w:rPr>
        <w:t>、机关事业单位基本养老保险缴费、职工基本医疗保险缴费、其他社会保障缴费、住房公积金、其他工资福利支出、生活补助。</w:t>
      </w:r>
    </w:p>
    <w:p w14:paraId="458CD62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1.99万元，占基本支出的</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%，主要包括差旅费</w:t>
      </w:r>
      <w:r>
        <w:rPr>
          <w:rFonts w:hint="eastAsia" w:ascii="Times New Roman" w:hAnsi="Times New Roman" w:eastAsia="仿宋_GB2312"/>
          <w:sz w:val="32"/>
          <w:szCs w:val="32"/>
          <w:lang w:eastAsia="zh-CN"/>
        </w:rPr>
        <w:t>、其他交通费用</w:t>
      </w:r>
      <w:r>
        <w:rPr>
          <w:rFonts w:hint="eastAsia" w:ascii="Times New Roman" w:hAnsi="Times New Roman" w:eastAsia="仿宋_GB2312"/>
          <w:sz w:val="32"/>
          <w:szCs w:val="32"/>
        </w:rPr>
        <w:t>。</w:t>
      </w:r>
    </w:p>
    <w:p w14:paraId="51399304">
      <w:pPr>
        <w:pStyle w:val="12"/>
        <w:keepNext w:val="0"/>
        <w:keepLines w:val="0"/>
        <w:pageBreakBefore w:val="0"/>
        <w:widowControl w:val="0"/>
        <w:numPr>
          <w:ilvl w:val="0"/>
          <w:numId w:val="1"/>
        </w:numPr>
        <w:kinsoku/>
        <w:wordWrap/>
        <w:overflowPunct/>
        <w:topLinePunct w:val="0"/>
        <w:autoSpaceDE w:val="0"/>
        <w:autoSpaceDN w:val="0"/>
        <w:bidi w:val="0"/>
        <w:adjustRightInd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316B5A4B">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74A4F729">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w:t>
      </w:r>
      <w:r>
        <w:rPr>
          <w:rFonts w:hint="eastAsia" w:ascii="仿宋" w:hAnsi="仿宋" w:eastAsia="仿宋" w:cs="仿宋"/>
          <w:sz w:val="32"/>
          <w:szCs w:val="32"/>
        </w:rPr>
        <w:t>决算数</w:t>
      </w:r>
      <w:r>
        <w:rPr>
          <w:rFonts w:hint="eastAsia" w:ascii="仿宋" w:hAnsi="仿宋" w:eastAsia="仿宋" w:cs="仿宋"/>
          <w:sz w:val="32"/>
          <w:szCs w:val="32"/>
          <w:lang w:val="en-US" w:eastAsia="zh-CN"/>
        </w:rPr>
        <w:t>与</w:t>
      </w:r>
      <w:r>
        <w:rPr>
          <w:rFonts w:hint="eastAsia" w:ascii="仿宋" w:hAnsi="仿宋" w:eastAsia="仿宋" w:cs="仿宋"/>
          <w:sz w:val="32"/>
          <w:szCs w:val="32"/>
        </w:rPr>
        <w:t>预算数</w:t>
      </w:r>
      <w:r>
        <w:rPr>
          <w:rFonts w:hint="eastAsia" w:ascii="仿宋" w:hAnsi="仿宋" w:eastAsia="仿宋" w:cs="仿宋"/>
          <w:sz w:val="32"/>
          <w:szCs w:val="32"/>
          <w:lang w:val="en-US" w:eastAsia="zh-CN"/>
        </w:rPr>
        <w:t>持平</w:t>
      </w:r>
      <w:r>
        <w:rPr>
          <w:rFonts w:hint="eastAsia" w:ascii="仿宋" w:hAnsi="仿宋" w:eastAsia="仿宋" w:cs="仿宋"/>
          <w:sz w:val="32"/>
          <w:szCs w:val="32"/>
        </w:rPr>
        <w:t>，</w:t>
      </w:r>
      <w:r>
        <w:rPr>
          <w:rFonts w:hint="eastAsia" w:ascii="Times New Roman" w:hAnsi="Times New Roman" w:eastAsia="仿宋_GB2312"/>
          <w:sz w:val="32"/>
          <w:szCs w:val="32"/>
        </w:rPr>
        <w:t>与上年相比</w:t>
      </w:r>
      <w:r>
        <w:rPr>
          <w:rFonts w:hint="eastAsia" w:ascii="仿宋" w:hAnsi="仿宋" w:eastAsia="仿宋" w:cs="仿宋"/>
          <w:sz w:val="32"/>
          <w:szCs w:val="32"/>
          <w:lang w:val="en-US" w:eastAsia="zh-CN"/>
        </w:rPr>
        <w:t>持平</w:t>
      </w:r>
      <w:r>
        <w:rPr>
          <w:rFonts w:hint="eastAsia" w:ascii="Times New Roman" w:hAnsi="Times New Roman" w:eastAsia="仿宋_GB2312"/>
          <w:sz w:val="32"/>
          <w:szCs w:val="32"/>
        </w:rPr>
        <w:t>。其中：</w:t>
      </w:r>
    </w:p>
    <w:p w14:paraId="26216FBC">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w:t>
      </w:r>
      <w:r>
        <w:rPr>
          <w:rFonts w:hint="eastAsia" w:ascii="仿宋" w:hAnsi="仿宋" w:eastAsia="仿宋" w:cs="仿宋"/>
          <w:sz w:val="32"/>
          <w:szCs w:val="32"/>
        </w:rPr>
        <w:t>决算数</w:t>
      </w:r>
      <w:r>
        <w:rPr>
          <w:rFonts w:hint="eastAsia" w:ascii="仿宋" w:hAnsi="仿宋" w:eastAsia="仿宋" w:cs="仿宋"/>
          <w:sz w:val="32"/>
          <w:szCs w:val="32"/>
          <w:lang w:val="en-US" w:eastAsia="zh-CN"/>
        </w:rPr>
        <w:t>与</w:t>
      </w:r>
      <w:r>
        <w:rPr>
          <w:rFonts w:hint="eastAsia" w:ascii="仿宋" w:hAnsi="仿宋" w:eastAsia="仿宋" w:cs="仿宋"/>
          <w:sz w:val="32"/>
          <w:szCs w:val="32"/>
        </w:rPr>
        <w:t>预算数</w:t>
      </w:r>
      <w:r>
        <w:rPr>
          <w:rFonts w:hint="eastAsia" w:ascii="仿宋" w:hAnsi="仿宋" w:eastAsia="仿宋" w:cs="仿宋"/>
          <w:sz w:val="32"/>
          <w:szCs w:val="32"/>
          <w:lang w:val="en-US" w:eastAsia="zh-CN"/>
        </w:rPr>
        <w:t>持平</w:t>
      </w:r>
      <w:r>
        <w:rPr>
          <w:rFonts w:hint="eastAsia" w:ascii="仿宋" w:hAnsi="仿宋" w:eastAsia="仿宋" w:cs="仿宋"/>
          <w:sz w:val="32"/>
          <w:szCs w:val="32"/>
        </w:rPr>
        <w:t>，与上年</w:t>
      </w:r>
      <w:r>
        <w:rPr>
          <w:rFonts w:hint="eastAsia" w:ascii="仿宋" w:hAnsi="仿宋" w:eastAsia="仿宋" w:cs="仿宋"/>
          <w:sz w:val="32"/>
          <w:szCs w:val="32"/>
          <w:lang w:val="en-US" w:eastAsia="zh-CN"/>
        </w:rPr>
        <w:t>相比持平，</w:t>
      </w:r>
      <w:r>
        <w:rPr>
          <w:rFonts w:hint="eastAsia" w:ascii="Times New Roman" w:hAnsi="Times New Roman" w:eastAsia="仿宋_GB2312"/>
          <w:sz w:val="32"/>
          <w:szCs w:val="32"/>
        </w:rPr>
        <w:t>主要原因是</w:t>
      </w:r>
      <w:r>
        <w:rPr>
          <w:rFonts w:hint="eastAsia" w:ascii="仿宋" w:hAnsi="仿宋" w:eastAsia="仿宋" w:cs="仿宋"/>
          <w:i w:val="0"/>
          <w:iCs w:val="0"/>
          <w:caps w:val="0"/>
          <w:color w:val="000000"/>
          <w:spacing w:val="0"/>
          <w:sz w:val="32"/>
          <w:szCs w:val="32"/>
          <w:shd w:val="clear" w:fill="FFFFFF"/>
          <w:lang w:val="en-US" w:eastAsia="zh-CN"/>
        </w:rPr>
        <w:t>本单位无</w:t>
      </w:r>
      <w:r>
        <w:rPr>
          <w:rFonts w:hint="eastAsia" w:ascii="仿宋" w:hAnsi="仿宋" w:eastAsia="仿宋" w:cs="仿宋"/>
          <w:i w:val="0"/>
          <w:iCs w:val="0"/>
          <w:caps w:val="0"/>
          <w:color w:val="000000"/>
          <w:spacing w:val="0"/>
          <w:sz w:val="32"/>
          <w:szCs w:val="32"/>
          <w:shd w:val="clear" w:fill="FFFFFF"/>
        </w:rPr>
        <w:t>因公出国（境）费支出</w:t>
      </w:r>
      <w:r>
        <w:rPr>
          <w:rFonts w:hint="eastAsia" w:ascii="Times New Roman" w:hAnsi="Times New Roman" w:eastAsia="仿宋_GB2312"/>
          <w:sz w:val="32"/>
          <w:szCs w:val="32"/>
        </w:rPr>
        <w:t>。</w:t>
      </w:r>
    </w:p>
    <w:p w14:paraId="342AE694">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w:t>
      </w:r>
      <w:r>
        <w:rPr>
          <w:rFonts w:hint="eastAsia" w:ascii="仿宋" w:hAnsi="仿宋" w:eastAsia="仿宋" w:cs="仿宋"/>
          <w:sz w:val="32"/>
          <w:szCs w:val="32"/>
        </w:rPr>
        <w:t>决算数</w:t>
      </w:r>
      <w:r>
        <w:rPr>
          <w:rFonts w:hint="eastAsia" w:ascii="仿宋" w:hAnsi="仿宋" w:eastAsia="仿宋" w:cs="仿宋"/>
          <w:sz w:val="32"/>
          <w:szCs w:val="32"/>
          <w:lang w:val="en-US" w:eastAsia="zh-CN"/>
        </w:rPr>
        <w:t>与</w:t>
      </w:r>
      <w:r>
        <w:rPr>
          <w:rFonts w:hint="eastAsia" w:ascii="仿宋" w:hAnsi="仿宋" w:eastAsia="仿宋" w:cs="仿宋"/>
          <w:sz w:val="32"/>
          <w:szCs w:val="32"/>
        </w:rPr>
        <w:t>预算数</w:t>
      </w:r>
      <w:r>
        <w:rPr>
          <w:rFonts w:hint="eastAsia" w:ascii="仿宋" w:hAnsi="仿宋" w:eastAsia="仿宋" w:cs="仿宋"/>
          <w:sz w:val="32"/>
          <w:szCs w:val="32"/>
          <w:lang w:val="en-US" w:eastAsia="zh-CN"/>
        </w:rPr>
        <w:t>持平</w:t>
      </w:r>
      <w:r>
        <w:rPr>
          <w:rFonts w:hint="eastAsia" w:ascii="仿宋" w:hAnsi="仿宋" w:eastAsia="仿宋" w:cs="仿宋"/>
          <w:sz w:val="32"/>
          <w:szCs w:val="32"/>
        </w:rPr>
        <w:t>，与上年</w:t>
      </w:r>
      <w:r>
        <w:rPr>
          <w:rFonts w:hint="eastAsia" w:ascii="仿宋" w:hAnsi="仿宋" w:eastAsia="仿宋" w:cs="仿宋"/>
          <w:sz w:val="32"/>
          <w:szCs w:val="32"/>
          <w:lang w:val="en-US" w:eastAsia="zh-CN"/>
        </w:rPr>
        <w:t>相比持平，</w:t>
      </w:r>
      <w:r>
        <w:rPr>
          <w:rFonts w:hint="eastAsia" w:ascii="Times New Roman" w:hAnsi="Times New Roman" w:eastAsia="仿宋_GB2312"/>
          <w:sz w:val="32"/>
          <w:szCs w:val="32"/>
        </w:rPr>
        <w:t>主要原因是本单位</w:t>
      </w:r>
      <w:r>
        <w:rPr>
          <w:rFonts w:hint="eastAsia" w:ascii="仿宋" w:hAnsi="仿宋" w:eastAsia="仿宋" w:cs="仿宋"/>
          <w:sz w:val="32"/>
          <w:szCs w:val="32"/>
        </w:rPr>
        <w:t>未安排</w:t>
      </w:r>
      <w:r>
        <w:rPr>
          <w:rFonts w:hint="eastAsia" w:ascii="Times New Roman" w:hAnsi="Times New Roman" w:eastAsia="仿宋_GB2312"/>
          <w:sz w:val="32"/>
          <w:szCs w:val="32"/>
        </w:rPr>
        <w:t>公务接待。</w:t>
      </w:r>
    </w:p>
    <w:p w14:paraId="2D746326">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w:t>
      </w:r>
      <w:r>
        <w:rPr>
          <w:rFonts w:hint="eastAsia" w:ascii="仿宋" w:hAnsi="仿宋" w:eastAsia="仿宋" w:cs="仿宋"/>
          <w:sz w:val="32"/>
          <w:szCs w:val="32"/>
        </w:rPr>
        <w:t>决算数</w:t>
      </w:r>
      <w:r>
        <w:rPr>
          <w:rFonts w:hint="eastAsia" w:ascii="仿宋" w:hAnsi="仿宋" w:eastAsia="仿宋" w:cs="仿宋"/>
          <w:sz w:val="32"/>
          <w:szCs w:val="32"/>
          <w:lang w:val="en-US" w:eastAsia="zh-CN"/>
        </w:rPr>
        <w:t>与</w:t>
      </w:r>
      <w:r>
        <w:rPr>
          <w:rFonts w:hint="eastAsia" w:ascii="仿宋" w:hAnsi="仿宋" w:eastAsia="仿宋" w:cs="仿宋"/>
          <w:sz w:val="32"/>
          <w:szCs w:val="32"/>
        </w:rPr>
        <w:t>预算数</w:t>
      </w:r>
      <w:r>
        <w:rPr>
          <w:rFonts w:hint="eastAsia" w:ascii="仿宋" w:hAnsi="仿宋" w:eastAsia="仿宋" w:cs="仿宋"/>
          <w:sz w:val="32"/>
          <w:szCs w:val="32"/>
          <w:lang w:val="en-US" w:eastAsia="zh-CN"/>
        </w:rPr>
        <w:t>持平</w:t>
      </w:r>
      <w:r>
        <w:rPr>
          <w:rFonts w:hint="eastAsia" w:ascii="仿宋" w:hAnsi="仿宋" w:eastAsia="仿宋" w:cs="仿宋"/>
          <w:sz w:val="32"/>
          <w:szCs w:val="32"/>
        </w:rPr>
        <w:t>，与上年</w:t>
      </w:r>
      <w:r>
        <w:rPr>
          <w:rFonts w:hint="eastAsia" w:ascii="仿宋" w:hAnsi="仿宋" w:eastAsia="仿宋" w:cs="仿宋"/>
          <w:sz w:val="32"/>
          <w:szCs w:val="32"/>
          <w:lang w:val="en-US" w:eastAsia="zh-CN"/>
        </w:rPr>
        <w:t>相比持平，</w:t>
      </w:r>
      <w:r>
        <w:rPr>
          <w:rFonts w:hint="eastAsia" w:ascii="Times New Roman" w:hAnsi="Times New Roman" w:eastAsia="仿宋_GB2312"/>
          <w:sz w:val="32"/>
          <w:szCs w:val="32"/>
        </w:rPr>
        <w:t>主要原因是</w:t>
      </w:r>
      <w:r>
        <w:rPr>
          <w:rFonts w:hint="eastAsia" w:ascii="仿宋" w:hAnsi="仿宋" w:eastAsia="仿宋" w:cs="仿宋"/>
          <w:sz w:val="32"/>
          <w:szCs w:val="32"/>
        </w:rPr>
        <w:t>本年度未</w:t>
      </w:r>
      <w:r>
        <w:rPr>
          <w:rFonts w:hint="eastAsia" w:ascii="仿宋" w:hAnsi="仿宋" w:eastAsia="仿宋" w:cs="仿宋"/>
          <w:sz w:val="32"/>
          <w:szCs w:val="32"/>
          <w:lang w:val="en-US" w:eastAsia="zh-CN"/>
        </w:rPr>
        <w:t>安排</w:t>
      </w:r>
      <w:r>
        <w:rPr>
          <w:rFonts w:hint="eastAsia" w:ascii="Times New Roman" w:hAnsi="Times New Roman" w:eastAsia="仿宋_GB2312"/>
          <w:sz w:val="32"/>
          <w:szCs w:val="32"/>
        </w:rPr>
        <w:t>公务用车购置</w:t>
      </w:r>
      <w:r>
        <w:rPr>
          <w:rFonts w:hint="eastAsia" w:ascii="仿宋" w:hAnsi="仿宋" w:eastAsia="仿宋" w:cs="仿宋"/>
          <w:sz w:val="32"/>
          <w:szCs w:val="32"/>
        </w:rPr>
        <w:t>。</w:t>
      </w:r>
    </w:p>
    <w:p w14:paraId="2DB5AFB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万元，由于预算数为0，无法计算百分比，</w:t>
      </w:r>
      <w:r>
        <w:rPr>
          <w:rFonts w:hint="eastAsia" w:ascii="仿宋" w:hAnsi="仿宋" w:eastAsia="仿宋" w:cs="仿宋"/>
          <w:sz w:val="32"/>
          <w:szCs w:val="32"/>
        </w:rPr>
        <w:t>决算数</w:t>
      </w:r>
      <w:r>
        <w:rPr>
          <w:rFonts w:hint="eastAsia" w:ascii="仿宋" w:hAnsi="仿宋" w:eastAsia="仿宋" w:cs="仿宋"/>
          <w:sz w:val="32"/>
          <w:szCs w:val="32"/>
          <w:lang w:val="en-US" w:eastAsia="zh-CN"/>
        </w:rPr>
        <w:t>与</w:t>
      </w:r>
      <w:r>
        <w:rPr>
          <w:rFonts w:hint="eastAsia" w:ascii="仿宋" w:hAnsi="仿宋" w:eastAsia="仿宋" w:cs="仿宋"/>
          <w:sz w:val="32"/>
          <w:szCs w:val="32"/>
        </w:rPr>
        <w:t>预算数</w:t>
      </w:r>
      <w:r>
        <w:rPr>
          <w:rFonts w:hint="eastAsia" w:ascii="仿宋" w:hAnsi="仿宋" w:eastAsia="仿宋" w:cs="仿宋"/>
          <w:sz w:val="32"/>
          <w:szCs w:val="32"/>
          <w:lang w:val="en-US" w:eastAsia="zh-CN"/>
        </w:rPr>
        <w:t>持平</w:t>
      </w:r>
      <w:r>
        <w:rPr>
          <w:rFonts w:hint="eastAsia" w:ascii="仿宋" w:hAnsi="仿宋" w:eastAsia="仿宋" w:cs="仿宋"/>
          <w:sz w:val="32"/>
          <w:szCs w:val="32"/>
        </w:rPr>
        <w:t>，与上年</w:t>
      </w:r>
      <w:r>
        <w:rPr>
          <w:rFonts w:hint="eastAsia" w:ascii="仿宋" w:hAnsi="仿宋" w:eastAsia="仿宋" w:cs="仿宋"/>
          <w:sz w:val="32"/>
          <w:szCs w:val="32"/>
          <w:lang w:val="en-US" w:eastAsia="zh-CN"/>
        </w:rPr>
        <w:t>相比持平，</w:t>
      </w:r>
      <w:r>
        <w:rPr>
          <w:rFonts w:hint="eastAsia" w:ascii="Times New Roman" w:hAnsi="Times New Roman" w:eastAsia="仿宋_GB2312"/>
          <w:sz w:val="32"/>
          <w:szCs w:val="32"/>
        </w:rPr>
        <w:t>主要原因是</w:t>
      </w:r>
      <w:r>
        <w:rPr>
          <w:rFonts w:hint="eastAsia" w:ascii="仿宋" w:hAnsi="仿宋" w:eastAsia="仿宋" w:cs="仿宋"/>
          <w:sz w:val="32"/>
          <w:szCs w:val="32"/>
          <w:lang w:val="en-US" w:eastAsia="zh-CN"/>
        </w:rPr>
        <w:t>本单位无公务用车，无相关支出</w:t>
      </w:r>
      <w:r>
        <w:rPr>
          <w:rFonts w:hint="eastAsia" w:ascii="仿宋" w:hAnsi="仿宋" w:eastAsia="仿宋" w:cs="仿宋"/>
          <w:sz w:val="32"/>
          <w:szCs w:val="32"/>
        </w:rPr>
        <w:t>。</w:t>
      </w:r>
    </w:p>
    <w:p w14:paraId="40255B6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D09A21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5CC8A9B6">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1B6020E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4ACE3FB2">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仿宋_GB2312"/>
          <w:bCs/>
          <w:kern w:val="0"/>
          <w:sz w:val="32"/>
          <w:szCs w:val="32"/>
        </w:rPr>
        <w:t>湖南省怀化工业中等专业学校</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6C74A05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53383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lang w:val="en-US" w:eastAsia="zh-CN" w:bidi="ar-SA"/>
        </w:rPr>
      </w:pPr>
      <w:r>
        <w:rPr>
          <w:rFonts w:hint="eastAsia" w:ascii="仿宋" w:hAnsi="仿宋" w:eastAsia="仿宋" w:cs="仿宋"/>
          <w:sz w:val="32"/>
          <w:szCs w:val="32"/>
        </w:rPr>
        <w:t>本单位</w:t>
      </w:r>
      <w:r>
        <w:rPr>
          <w:rFonts w:hint="eastAsia" w:ascii="Times New Roman" w:hAnsi="Times New Roman" w:eastAsia="仿宋_GB2312" w:cs="黑体"/>
          <w:color w:val="000000"/>
          <w:kern w:val="0"/>
          <w:sz w:val="32"/>
          <w:szCs w:val="32"/>
          <w:lang w:val="en-US" w:eastAsia="zh-CN" w:bidi="ar-SA"/>
        </w:rPr>
        <w:t>2023</w:t>
      </w:r>
      <w:r>
        <w:rPr>
          <w:rFonts w:hint="eastAsia" w:ascii="仿宋" w:hAnsi="仿宋" w:eastAsia="仿宋" w:cs="仿宋"/>
          <w:sz w:val="32"/>
          <w:szCs w:val="32"/>
          <w:lang w:val="en-US" w:eastAsia="zh-CN"/>
        </w:rPr>
        <w:t>年</w:t>
      </w:r>
      <w:r>
        <w:rPr>
          <w:rFonts w:hint="eastAsia" w:ascii="仿宋" w:hAnsi="仿宋" w:eastAsia="仿宋" w:cs="仿宋"/>
          <w:sz w:val="32"/>
          <w:szCs w:val="32"/>
        </w:rPr>
        <w:t>无政府性基金收支。</w:t>
      </w:r>
    </w:p>
    <w:p w14:paraId="5CBFDA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bidi="ar-SA"/>
        </w:rPr>
        <w:t>九、国有资本经营预算财政拨款收入支出决算情况说明</w:t>
      </w:r>
    </w:p>
    <w:p w14:paraId="4A6648B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hAnsi="黑体" w:cs="黑体"/>
          <w:b w:val="0"/>
          <w:bCs/>
          <w:sz w:val="32"/>
          <w:szCs w:val="32"/>
          <w:lang w:val="en-US" w:eastAsia="zh-CN"/>
        </w:rPr>
      </w:pPr>
      <w:r>
        <w:rPr>
          <w:rFonts w:hint="eastAsia" w:ascii="仿宋" w:hAnsi="仿宋" w:eastAsia="仿宋" w:cs="仿宋"/>
          <w:sz w:val="32"/>
          <w:szCs w:val="32"/>
        </w:rPr>
        <w:t>本单位</w:t>
      </w:r>
      <w:r>
        <w:rPr>
          <w:rFonts w:hint="eastAsia" w:ascii="Times New Roman" w:hAnsi="Times New Roman" w:eastAsia="仿宋_GB2312" w:cs="黑体"/>
          <w:color w:val="000000"/>
          <w:kern w:val="0"/>
          <w:sz w:val="32"/>
          <w:szCs w:val="32"/>
          <w:lang w:val="en-US" w:eastAsia="zh-CN" w:bidi="ar-SA"/>
        </w:rPr>
        <w:t>2023</w:t>
      </w:r>
      <w:r>
        <w:rPr>
          <w:rFonts w:hint="eastAsia" w:ascii="仿宋" w:hAnsi="仿宋" w:eastAsia="仿宋" w:cs="仿宋"/>
          <w:sz w:val="32"/>
          <w:szCs w:val="32"/>
          <w:lang w:val="en-US" w:eastAsia="zh-CN"/>
        </w:rPr>
        <w:t>年</w:t>
      </w:r>
      <w:r>
        <w:rPr>
          <w:rFonts w:hint="eastAsia" w:ascii="仿宋" w:hAnsi="仿宋" w:eastAsia="仿宋" w:cs="仿宋"/>
          <w:sz w:val="32"/>
          <w:szCs w:val="32"/>
        </w:rPr>
        <w:t>无国有资本经营预算财政拨款</w:t>
      </w:r>
      <w:r>
        <w:rPr>
          <w:rFonts w:hint="eastAsia" w:ascii="仿宋" w:hAnsi="仿宋" w:eastAsia="仿宋" w:cs="仿宋"/>
          <w:sz w:val="32"/>
          <w:szCs w:val="32"/>
          <w:lang w:eastAsia="zh-CN"/>
        </w:rPr>
        <w:t>收</w:t>
      </w:r>
      <w:r>
        <w:rPr>
          <w:rFonts w:hint="eastAsia" w:ascii="仿宋" w:hAnsi="仿宋" w:eastAsia="仿宋" w:cs="仿宋"/>
          <w:sz w:val="32"/>
          <w:szCs w:val="32"/>
        </w:rPr>
        <w:t>支</w:t>
      </w:r>
      <w:r>
        <w:rPr>
          <w:rFonts w:hint="eastAsia" w:ascii="仿宋" w:hAnsi="仿宋" w:eastAsia="仿宋" w:cs="仿宋"/>
          <w:sz w:val="32"/>
          <w:szCs w:val="32"/>
          <w:lang w:eastAsia="zh-CN"/>
        </w:rPr>
        <w:t>。</w:t>
      </w:r>
    </w:p>
    <w:p w14:paraId="7ECB067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hAnsi="黑体" w:cs="黑体"/>
          <w:b w:val="0"/>
          <w:bCs/>
          <w:sz w:val="32"/>
          <w:szCs w:val="32"/>
          <w:lang w:val="en-US" w:eastAsia="zh-CN"/>
        </w:rPr>
        <w:t>十</w:t>
      </w:r>
      <w:r>
        <w:rPr>
          <w:rFonts w:hint="eastAsia" w:ascii="黑体" w:hAnsi="黑体" w:eastAsia="黑体" w:cs="黑体"/>
          <w:b w:val="0"/>
          <w:bCs/>
          <w:sz w:val="32"/>
          <w:szCs w:val="32"/>
        </w:rPr>
        <w:t>、关于机关运行经费支出说明</w:t>
      </w:r>
    </w:p>
    <w:p w14:paraId="0E0763CF">
      <w:pPr>
        <w:pStyle w:val="12"/>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万元。主要原因是：本单位</w:t>
      </w:r>
      <w:r>
        <w:rPr>
          <w:rFonts w:hint="eastAsia" w:ascii="Times New Roman" w:hAnsi="Times New Roman" w:eastAsia="仿宋_GB2312"/>
          <w:sz w:val="32"/>
          <w:szCs w:val="32"/>
          <w:lang w:val="en-US" w:eastAsia="zh-CN"/>
        </w:rPr>
        <w:t>为公益一类事业单位，</w:t>
      </w:r>
      <w:r>
        <w:rPr>
          <w:rFonts w:hint="eastAsia" w:ascii="Times New Roman" w:hAnsi="Times New Roman" w:eastAsia="仿宋_GB2312"/>
          <w:sz w:val="32"/>
          <w:szCs w:val="32"/>
        </w:rPr>
        <w:t>不属于行政单位（包括参照公务员法管理的事业单位），无机关运行经费。</w:t>
      </w:r>
    </w:p>
    <w:p w14:paraId="604A751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rPr>
        <w:t>十</w:t>
      </w:r>
      <w:r>
        <w:rPr>
          <w:rFonts w:hint="eastAsia" w:hAnsi="黑体" w:cs="黑体"/>
          <w:b w:val="0"/>
          <w:bCs/>
          <w:sz w:val="32"/>
          <w:szCs w:val="32"/>
          <w:lang w:val="en-US" w:eastAsia="zh-CN"/>
        </w:rPr>
        <w:t>一</w:t>
      </w:r>
      <w:r>
        <w:rPr>
          <w:rFonts w:hint="eastAsia" w:ascii="黑体" w:hAnsi="黑体" w:eastAsia="黑体" w:cs="黑体"/>
          <w:b w:val="0"/>
          <w:bCs/>
          <w:sz w:val="32"/>
          <w:szCs w:val="32"/>
        </w:rPr>
        <w:t>、一般性支出情况说明</w:t>
      </w:r>
    </w:p>
    <w:p w14:paraId="6935E9F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highlight w:val="none"/>
        </w:rPr>
        <w:t>202</w:t>
      </w: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年本部门开支会议费</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万元；开支培训费</w:t>
      </w:r>
      <w:r>
        <w:rPr>
          <w:rFonts w:hint="eastAsia" w:ascii="Times New Roman" w:hAnsi="Times New Roman" w:eastAsia="仿宋_GB2312"/>
          <w:sz w:val="32"/>
          <w:szCs w:val="32"/>
          <w:highlight w:val="none"/>
          <w:lang w:val="en-US" w:eastAsia="zh-CN"/>
        </w:rPr>
        <w:t>3.46</w:t>
      </w:r>
      <w:r>
        <w:rPr>
          <w:rFonts w:hint="eastAsia" w:ascii="Times New Roman" w:hAnsi="Times New Roman" w:eastAsia="仿宋_GB2312"/>
          <w:sz w:val="32"/>
          <w:szCs w:val="32"/>
          <w:highlight w:val="none"/>
        </w:rPr>
        <w:t>万元，用于开展</w:t>
      </w:r>
      <w:r>
        <w:rPr>
          <w:rFonts w:hint="eastAsia" w:ascii="Times New Roman" w:hAnsi="Times New Roman" w:eastAsia="仿宋_GB2312"/>
          <w:sz w:val="32"/>
          <w:szCs w:val="32"/>
          <w:highlight w:val="none"/>
          <w:lang w:val="en-US" w:eastAsia="zh-CN"/>
        </w:rPr>
        <w:t>资助管理</w:t>
      </w:r>
      <w:r>
        <w:rPr>
          <w:rFonts w:hint="eastAsia" w:ascii="Times New Roman" w:hAnsi="Times New Roman" w:eastAsia="仿宋_GB2312"/>
          <w:sz w:val="32"/>
          <w:szCs w:val="32"/>
          <w:highlight w:val="none"/>
        </w:rPr>
        <w:t>培训</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教学培训、班主任培训、党培训班、会议培训餐</w:t>
      </w:r>
      <w:r>
        <w:rPr>
          <w:rFonts w:hint="eastAsia" w:ascii="Times New Roman" w:hAnsi="Times New Roman" w:eastAsia="仿宋_GB2312"/>
          <w:sz w:val="32"/>
          <w:szCs w:val="32"/>
          <w:highlight w:val="none"/>
        </w:rPr>
        <w:t>，人数</w:t>
      </w:r>
      <w:r>
        <w:rPr>
          <w:rFonts w:hint="eastAsia" w:ascii="Times New Roman" w:hAnsi="Times New Roman" w:eastAsia="仿宋_GB2312"/>
          <w:sz w:val="32"/>
          <w:szCs w:val="32"/>
          <w:highlight w:val="none"/>
          <w:lang w:val="en-US" w:eastAsia="zh-CN"/>
        </w:rPr>
        <w:t>363</w:t>
      </w:r>
      <w:r>
        <w:rPr>
          <w:rFonts w:hint="eastAsia" w:ascii="Times New Roman" w:hAnsi="Times New Roman" w:eastAsia="仿宋_GB2312"/>
          <w:sz w:val="32"/>
          <w:szCs w:val="32"/>
          <w:highlight w:val="none"/>
        </w:rPr>
        <w:t>人，内容为学生资助政策培训</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机械制图课程数字化教学改革、</w:t>
      </w:r>
      <w:r>
        <w:rPr>
          <w:rFonts w:hint="eastAsia" w:ascii="Times New Roman" w:hAnsi="Times New Roman" w:eastAsia="仿宋_GB2312"/>
          <w:sz w:val="32"/>
          <w:szCs w:val="32"/>
          <w:highlight w:val="none"/>
        </w:rPr>
        <w:t>班主任职业能力培养</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学习党的二十大精神、教学能力培养</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未</w:t>
      </w:r>
      <w:r>
        <w:rPr>
          <w:rFonts w:hint="eastAsia" w:ascii="Times New Roman" w:hAnsi="Times New Roman" w:eastAsia="仿宋_GB2312"/>
          <w:sz w:val="32"/>
          <w:szCs w:val="32"/>
          <w:highlight w:val="none"/>
        </w:rPr>
        <w:t>举办</w:t>
      </w:r>
      <w:r>
        <w:rPr>
          <w:rFonts w:hint="eastAsia" w:ascii="Times New Roman" w:hAnsi="Times New Roman" w:eastAsia="仿宋_GB2312"/>
          <w:sz w:val="32"/>
          <w:szCs w:val="32"/>
        </w:rPr>
        <w:t>节庆、晚会、论坛、赛事活动。</w:t>
      </w:r>
    </w:p>
    <w:p w14:paraId="4133ACF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hAnsi="黑体" w:cs="黑体"/>
          <w:b w:val="0"/>
          <w:bCs/>
          <w:sz w:val="32"/>
          <w:szCs w:val="32"/>
          <w:lang w:val="en-US" w:eastAsia="zh-CN"/>
        </w:rPr>
        <w:t>二</w:t>
      </w:r>
      <w:r>
        <w:rPr>
          <w:rFonts w:hint="eastAsia" w:ascii="黑体" w:hAnsi="黑体" w:eastAsia="黑体" w:cs="黑体"/>
          <w:b w:val="0"/>
          <w:bCs/>
          <w:sz w:val="32"/>
          <w:szCs w:val="32"/>
        </w:rPr>
        <w:t>、关于政府采购支出说明</w:t>
      </w:r>
    </w:p>
    <w:p w14:paraId="368F3F4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sz w:val="32"/>
          <w:szCs w:val="32"/>
          <w:highlight w:val="none"/>
        </w:rPr>
        <w:t>本部门202</w:t>
      </w: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年度政府采购支出总额</w:t>
      </w:r>
      <w:r>
        <w:rPr>
          <w:rFonts w:hint="eastAsia" w:ascii="Times New Roman" w:hAnsi="Times New Roman" w:eastAsia="仿宋_GB2312"/>
          <w:sz w:val="32"/>
          <w:szCs w:val="32"/>
          <w:highlight w:val="none"/>
          <w:lang w:val="en-US" w:eastAsia="zh-CN"/>
        </w:rPr>
        <w:t>1175.15</w:t>
      </w:r>
      <w:r>
        <w:rPr>
          <w:rFonts w:hint="eastAsia" w:ascii="Times New Roman" w:hAnsi="Times New Roman" w:eastAsia="仿宋_GB2312"/>
          <w:sz w:val="32"/>
          <w:szCs w:val="32"/>
          <w:highlight w:val="none"/>
        </w:rPr>
        <w:t>万元，其中：政府采购货物支出</w:t>
      </w:r>
      <w:r>
        <w:rPr>
          <w:rFonts w:hint="eastAsia" w:ascii="Times New Roman" w:hAnsi="Times New Roman" w:eastAsia="仿宋_GB2312"/>
          <w:sz w:val="32"/>
          <w:szCs w:val="32"/>
          <w:highlight w:val="none"/>
          <w:lang w:val="en-US" w:eastAsia="zh-CN"/>
        </w:rPr>
        <w:t>915.15</w:t>
      </w:r>
      <w:r>
        <w:rPr>
          <w:rFonts w:hint="eastAsia" w:ascii="Times New Roman" w:hAnsi="Times New Roman" w:eastAsia="仿宋_GB2312"/>
          <w:sz w:val="32"/>
          <w:szCs w:val="32"/>
          <w:highlight w:val="none"/>
        </w:rPr>
        <w:t>万元、政府采购工程支出</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万元、政府采购服务支出</w:t>
      </w:r>
      <w:r>
        <w:rPr>
          <w:rFonts w:hint="eastAsia" w:ascii="Times New Roman" w:hAnsi="Times New Roman" w:eastAsia="仿宋_GB2312"/>
          <w:sz w:val="32"/>
          <w:szCs w:val="32"/>
          <w:highlight w:val="none"/>
          <w:lang w:val="en-US" w:eastAsia="zh-CN"/>
        </w:rPr>
        <w:t>260</w:t>
      </w:r>
      <w:r>
        <w:rPr>
          <w:rFonts w:hint="eastAsia" w:ascii="Times New Roman" w:hAnsi="Times New Roman" w:eastAsia="仿宋_GB2312"/>
          <w:sz w:val="32"/>
          <w:szCs w:val="32"/>
          <w:highlight w:val="none"/>
        </w:rPr>
        <w:t>万元。授予中小企业合同金额</w:t>
      </w:r>
      <w:r>
        <w:rPr>
          <w:rFonts w:hint="eastAsia" w:ascii="Times New Roman" w:hAnsi="Times New Roman" w:eastAsia="仿宋_GB2312"/>
          <w:sz w:val="32"/>
          <w:szCs w:val="32"/>
          <w:highlight w:val="none"/>
          <w:lang w:val="en-US" w:eastAsia="zh-CN"/>
        </w:rPr>
        <w:t>1175.15</w:t>
      </w:r>
      <w:r>
        <w:rPr>
          <w:rFonts w:hint="eastAsia" w:ascii="Times New Roman" w:hAnsi="Times New Roman" w:eastAsia="仿宋_GB2312"/>
          <w:sz w:val="32"/>
          <w:szCs w:val="32"/>
          <w:highlight w:val="none"/>
        </w:rPr>
        <w:t>万元，占政府采购支出总额的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%，其中：授予小微企业合同金额</w:t>
      </w:r>
      <w:r>
        <w:rPr>
          <w:rFonts w:hint="eastAsia" w:ascii="Times New Roman" w:hAnsi="Times New Roman" w:eastAsia="仿宋_GB2312"/>
          <w:sz w:val="32"/>
          <w:szCs w:val="32"/>
          <w:highlight w:val="none"/>
          <w:lang w:val="en-US" w:eastAsia="zh-CN"/>
        </w:rPr>
        <w:t>1175.15</w:t>
      </w:r>
      <w:r>
        <w:rPr>
          <w:rFonts w:hint="eastAsia" w:ascii="Times New Roman" w:hAnsi="Times New Roman" w:eastAsia="仿宋_GB2312"/>
          <w:sz w:val="32"/>
          <w:szCs w:val="32"/>
          <w:highlight w:val="none"/>
        </w:rPr>
        <w:t>万元，</w:t>
      </w:r>
      <w:r>
        <w:rPr>
          <w:rFonts w:hint="eastAsia" w:ascii="Times New Roman" w:hAnsi="Times New Roman" w:eastAsia="仿宋_GB2312"/>
          <w:color w:val="auto"/>
          <w:sz w:val="32"/>
          <w:szCs w:val="32"/>
          <w:highlight w:val="none"/>
        </w:rPr>
        <w:t>占</w:t>
      </w:r>
      <w:r>
        <w:rPr>
          <w:rFonts w:hint="eastAsia" w:ascii="Times New Roman" w:hAnsi="Times New Roman" w:eastAsia="仿宋_GB2312"/>
          <w:color w:val="auto"/>
          <w:sz w:val="32"/>
          <w:szCs w:val="32"/>
          <w:highlight w:val="none"/>
          <w:lang w:eastAsia="zh-CN"/>
        </w:rPr>
        <w:t>授予中小企业合同金额</w:t>
      </w:r>
      <w:r>
        <w:rPr>
          <w:rFonts w:hint="eastAsia" w:ascii="Times New Roman" w:hAnsi="Times New Roman" w:eastAsia="仿宋_GB2312"/>
          <w:color w:val="auto"/>
          <w:sz w:val="32"/>
          <w:szCs w:val="32"/>
          <w:highlight w:val="none"/>
        </w:rPr>
        <w:t>的</w:t>
      </w:r>
      <w:r>
        <w:rPr>
          <w:rFonts w:hint="eastAsia" w:ascii="Times New Roman" w:hAnsi="Times New Roman" w:eastAsia="仿宋_GB2312"/>
          <w:color w:val="auto"/>
          <w:sz w:val="32"/>
          <w:szCs w:val="32"/>
          <w:highlight w:val="none"/>
          <w:lang w:val="en-US" w:eastAsia="zh-CN"/>
        </w:rPr>
        <w:t>100</w:t>
      </w:r>
      <w:r>
        <w:rPr>
          <w:rFonts w:hint="eastAsia" w:ascii="Times New Roman" w:hAnsi="Times New Roman" w:eastAsia="仿宋_GB2312"/>
          <w:color w:val="auto"/>
          <w:sz w:val="32"/>
          <w:szCs w:val="32"/>
          <w:highlight w:val="none"/>
        </w:rPr>
        <w:t>%。货物采购授予中小企业合同金额占货物支出金额的</w:t>
      </w:r>
      <w:r>
        <w:rPr>
          <w:rFonts w:hint="eastAsia" w:ascii="Times New Roman" w:hAnsi="Times New Roman" w:eastAsia="仿宋_GB2312"/>
          <w:color w:val="auto"/>
          <w:sz w:val="32"/>
          <w:szCs w:val="32"/>
          <w:highlight w:val="none"/>
          <w:lang w:val="en-US" w:eastAsia="zh-CN"/>
        </w:rPr>
        <w:t>100</w:t>
      </w:r>
      <w:r>
        <w:rPr>
          <w:rFonts w:hint="eastAsia" w:ascii="Times New Roman" w:hAnsi="Times New Roman" w:eastAsia="仿宋_GB2312"/>
          <w:color w:val="auto"/>
          <w:sz w:val="32"/>
          <w:szCs w:val="32"/>
          <w:highlight w:val="none"/>
        </w:rPr>
        <w:t>%，工程采购授予中小企业合同金额占工程支出金额的</w:t>
      </w:r>
      <w:r>
        <w:rPr>
          <w:rFonts w:hint="eastAsia" w:ascii="Times New Roman" w:hAnsi="Times New Roman" w:eastAsia="仿宋_GB2312"/>
          <w:color w:val="auto"/>
          <w:sz w:val="32"/>
          <w:szCs w:val="32"/>
          <w:highlight w:val="none"/>
          <w:lang w:val="en-US" w:eastAsia="zh-CN"/>
        </w:rPr>
        <w:t>0</w:t>
      </w:r>
      <w:r>
        <w:rPr>
          <w:rFonts w:hint="eastAsia" w:ascii="Times New Roman" w:hAnsi="Times New Roman" w:eastAsia="仿宋_GB2312"/>
          <w:color w:val="auto"/>
          <w:sz w:val="32"/>
          <w:szCs w:val="32"/>
          <w:highlight w:val="none"/>
        </w:rPr>
        <w:t>%，服务采购授予中小企业合同金额占服务支出金额的</w:t>
      </w:r>
      <w:r>
        <w:rPr>
          <w:rFonts w:hint="eastAsia" w:ascii="Times New Roman" w:hAnsi="Times New Roman" w:eastAsia="仿宋_GB2312"/>
          <w:color w:val="auto"/>
          <w:sz w:val="32"/>
          <w:szCs w:val="32"/>
          <w:highlight w:val="none"/>
          <w:lang w:val="en-US" w:eastAsia="zh-CN"/>
        </w:rPr>
        <w:t>100</w:t>
      </w:r>
      <w:r>
        <w:rPr>
          <w:rFonts w:hint="eastAsia" w:ascii="Times New Roman" w:hAnsi="Times New Roman" w:eastAsia="仿宋_GB2312"/>
          <w:color w:val="auto"/>
          <w:sz w:val="32"/>
          <w:szCs w:val="32"/>
          <w:highlight w:val="none"/>
        </w:rPr>
        <w:t>%。</w:t>
      </w:r>
    </w:p>
    <w:p w14:paraId="266772E6">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三</w:t>
      </w:r>
      <w:r>
        <w:rPr>
          <w:rFonts w:hint="eastAsia" w:ascii="黑体" w:hAnsi="黑体" w:eastAsia="黑体" w:cs="黑体"/>
          <w:b w:val="0"/>
          <w:bCs/>
          <w:color w:val="auto"/>
          <w:sz w:val="32"/>
          <w:szCs w:val="32"/>
        </w:rPr>
        <w:t>、关于国有资产占用情况说明</w:t>
      </w:r>
    </w:p>
    <w:p w14:paraId="2DB1F8B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5B06B4E2">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w:t>
      </w:r>
      <w:r>
        <w:rPr>
          <w:rFonts w:hint="eastAsia" w:hAnsi="黑体" w:cs="黑体"/>
          <w:b w:val="0"/>
          <w:bCs/>
          <w:color w:val="auto"/>
          <w:sz w:val="32"/>
          <w:szCs w:val="32"/>
          <w:lang w:val="en-US" w:eastAsia="zh-CN"/>
        </w:rPr>
        <w:t>四</w:t>
      </w:r>
      <w:r>
        <w:rPr>
          <w:rFonts w:hint="eastAsia" w:ascii="黑体" w:hAnsi="黑体" w:eastAsia="黑体" w:cs="黑体"/>
          <w:b w:val="0"/>
          <w:bCs/>
          <w:color w:val="auto"/>
          <w:sz w:val="32"/>
          <w:szCs w:val="32"/>
        </w:rPr>
        <w:t>、关于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07CFC42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highlight w:val="yellow"/>
          <w:lang w:eastAsia="zh-CN"/>
        </w:rPr>
      </w:pPr>
      <w:r>
        <w:rPr>
          <w:rFonts w:hint="eastAsia" w:ascii="楷体" w:hAnsi="楷体" w:eastAsia="楷体" w:cs="楷体"/>
          <w:b/>
          <w:bCs/>
          <w:sz w:val="32"/>
          <w:szCs w:val="32"/>
          <w:lang w:eastAsia="zh-CN"/>
        </w:rPr>
        <w:t>（一</w:t>
      </w:r>
      <w:r>
        <w:rPr>
          <w:rFonts w:hint="eastAsia" w:ascii="楷体" w:hAnsi="楷体" w:eastAsia="楷体" w:cs="楷体"/>
          <w:b/>
          <w:bCs/>
          <w:sz w:val="32"/>
          <w:szCs w:val="32"/>
          <w:highlight w:val="none"/>
          <w:lang w:eastAsia="zh-CN"/>
        </w:rPr>
        <w:t>）绩效管理工作开展情况</w:t>
      </w:r>
    </w:p>
    <w:p w14:paraId="77CE3E4D">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2023年年初，本单位按照要求完成了怀化市财政局2023年度预算绩效目标审核工作。</w:t>
      </w:r>
    </w:p>
    <w:p w14:paraId="5815CD8D">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2023年10月，根据《怀化市财政局关于开展2023年度市级预算支出绩效运行监控工作的通知》（怀财绩〔2023〕120号）要求，本单位对2023年</w:t>
      </w:r>
      <w:r>
        <w:rPr>
          <w:rFonts w:hint="eastAsia" w:ascii="Times New Roman" w:hAnsi="Times New Roman" w:eastAsia="仿宋_GB2312" w:cs="黑体"/>
          <w:color w:val="auto"/>
          <w:kern w:val="0"/>
          <w:sz w:val="32"/>
          <w:szCs w:val="32"/>
          <w:lang w:val="en-US" w:eastAsia="zh-CN" w:bidi="ar-SA"/>
        </w:rPr>
        <w:t>1-6月份财政支出绩效目标运行情况进行监控分析，按要求填报《项目支出绩效运行监控表》并上传至预算绩效系统，编写市级预算支出绩效运行监控报告，对绩效监控中发现的绩效目标执行偏差和管理漏洞，及时采取有针对性的措施予以纠正，不断改进和加强预算绩效管理。</w:t>
      </w:r>
    </w:p>
    <w:p w14:paraId="0FDE2D3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sz w:val="32"/>
          <w:szCs w:val="32"/>
          <w:highlight w:val="yellow"/>
          <w:lang w:eastAsia="zh-CN"/>
        </w:rPr>
      </w:pPr>
      <w:r>
        <w:rPr>
          <w:rFonts w:hint="eastAsia" w:ascii="Times New Roman" w:hAnsi="Times New Roman" w:eastAsia="仿宋_GB2312"/>
          <w:color w:val="auto"/>
          <w:sz w:val="32"/>
          <w:szCs w:val="32"/>
          <w:lang w:eastAsia="zh-CN"/>
        </w:rPr>
        <w:t>2024年</w:t>
      </w:r>
      <w:r>
        <w:rPr>
          <w:rFonts w:hint="eastAsia" w:ascii="Times New Roman" w:hAnsi="Times New Roman" w:eastAsia="仿宋_GB2312"/>
          <w:color w:val="auto"/>
          <w:sz w:val="32"/>
          <w:szCs w:val="32"/>
          <w:lang w:val="en-US" w:eastAsia="zh-CN"/>
        </w:rPr>
        <w:t>6</w:t>
      </w:r>
      <w:r>
        <w:rPr>
          <w:rFonts w:hint="eastAsia" w:ascii="Times New Roman" w:hAnsi="Times New Roman" w:eastAsia="仿宋_GB2312"/>
          <w:color w:val="auto"/>
          <w:sz w:val="32"/>
          <w:szCs w:val="32"/>
          <w:lang w:eastAsia="zh-CN"/>
        </w:rPr>
        <w:t>月，根据《中共中央 国务院关于全面实施预算绩效管理的意见》（中发〔2018〕34号）、《中共湖南省委办公厅 湖南省人民政府办公厅关于全面实施预算绩效管理的实施意见》（湘办发〔2019〕10号）有关规定，按照《怀化市财政局关于开展2023年度预算支出绩效自评工作的通知》（怀财绩〔2024〕46号）</w:t>
      </w:r>
      <w:r>
        <w:rPr>
          <w:rFonts w:hint="eastAsia" w:ascii="Times New Roman" w:hAnsi="Times New Roman" w:eastAsia="仿宋_GB2312"/>
          <w:color w:val="auto"/>
          <w:sz w:val="32"/>
          <w:szCs w:val="32"/>
          <w:lang w:val="en-US" w:eastAsia="zh-CN"/>
        </w:rPr>
        <w:t>要求，本单位认真开展绩效自评工作</w:t>
      </w:r>
      <w:r>
        <w:rPr>
          <w:rFonts w:hint="eastAsia" w:ascii="Times New Roman" w:hAnsi="Times New Roman" w:eastAsia="仿宋_GB2312"/>
          <w:color w:val="auto"/>
          <w:sz w:val="32"/>
          <w:szCs w:val="32"/>
          <w:lang w:eastAsia="zh-CN"/>
        </w:rPr>
        <w:t>，对2023年整体支出</w:t>
      </w:r>
      <w:r>
        <w:rPr>
          <w:rFonts w:hint="eastAsia" w:ascii="Times New Roman" w:hAnsi="Times New Roman" w:eastAsia="仿宋_GB2312"/>
          <w:color w:val="auto"/>
          <w:sz w:val="32"/>
          <w:szCs w:val="32"/>
          <w:lang w:val="en-US" w:eastAsia="zh-CN"/>
        </w:rPr>
        <w:t>和项目支出</w:t>
      </w:r>
      <w:r>
        <w:rPr>
          <w:rFonts w:hint="eastAsia" w:ascii="Times New Roman" w:hAnsi="Times New Roman" w:eastAsia="仿宋_GB2312"/>
          <w:color w:val="auto"/>
          <w:sz w:val="32"/>
          <w:szCs w:val="32"/>
          <w:lang w:eastAsia="zh-CN"/>
        </w:rPr>
        <w:t>实施了预算绩效自评。</w:t>
      </w:r>
    </w:p>
    <w:p w14:paraId="67FB34A2">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7992DEF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32"/>
          <w:szCs w:val="32"/>
        </w:rPr>
      </w:pPr>
      <w:r>
        <w:rPr>
          <w:rFonts w:hint="eastAsia" w:ascii="仿宋" w:hAnsi="仿宋" w:eastAsia="仿宋" w:cs="仿宋"/>
          <w:sz w:val="32"/>
          <w:szCs w:val="32"/>
        </w:rPr>
        <w:t>根据预算绩效管理要求，</w:t>
      </w:r>
      <w:r>
        <w:rPr>
          <w:rFonts w:hint="eastAsia" w:ascii="Times New Roman" w:hAnsi="Times New Roman" w:eastAsia="仿宋_GB2312"/>
          <w:color w:val="auto"/>
          <w:sz w:val="32"/>
          <w:szCs w:val="32"/>
          <w:lang w:val="en-US" w:eastAsia="zh-CN"/>
        </w:rPr>
        <w:t>本单位</w:t>
      </w:r>
      <w:r>
        <w:rPr>
          <w:rFonts w:hint="eastAsia" w:ascii="仿宋" w:hAnsi="仿宋" w:eastAsia="仿宋" w:cs="仿宋"/>
          <w:sz w:val="32"/>
          <w:szCs w:val="32"/>
        </w:rPr>
        <w:t>组织开展</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w:t>
      </w:r>
      <w:r>
        <w:rPr>
          <w:rFonts w:hint="eastAsia" w:ascii="仿宋" w:hAnsi="仿宋" w:eastAsia="仿宋" w:cs="仿宋"/>
          <w:sz w:val="32"/>
          <w:szCs w:val="32"/>
        </w:rPr>
        <w:t>整体支出</w:t>
      </w:r>
      <w:r>
        <w:rPr>
          <w:rFonts w:hint="eastAsia" w:ascii="仿宋" w:hAnsi="仿宋" w:eastAsia="仿宋" w:cs="仿宋"/>
          <w:sz w:val="32"/>
          <w:szCs w:val="32"/>
          <w:lang w:val="en-US" w:eastAsia="zh-CN"/>
        </w:rPr>
        <w:t>绩效</w:t>
      </w:r>
      <w:r>
        <w:rPr>
          <w:rFonts w:hint="eastAsia" w:ascii="仿宋" w:hAnsi="仿宋" w:eastAsia="仿宋" w:cs="仿宋"/>
          <w:sz w:val="32"/>
          <w:szCs w:val="32"/>
        </w:rPr>
        <w:t>评价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从评价结果来看：</w:t>
      </w:r>
      <w:r>
        <w:rPr>
          <w:rFonts w:hint="eastAsia" w:ascii="仿宋" w:hAnsi="仿宋" w:eastAsia="仿宋"/>
          <w:spacing w:val="-2"/>
          <w:sz w:val="32"/>
          <w:szCs w:val="32"/>
        </w:rPr>
        <w:t>通过</w:t>
      </w:r>
      <w:r>
        <w:rPr>
          <w:rFonts w:hint="eastAsia" w:ascii="仿宋" w:hAnsi="仿宋" w:eastAsia="仿宋"/>
          <w:spacing w:val="-2"/>
          <w:sz w:val="32"/>
          <w:szCs w:val="32"/>
          <w:lang w:val="en-US" w:eastAsia="zh-CN"/>
        </w:rPr>
        <w:t>本年度</w:t>
      </w:r>
      <w:r>
        <w:rPr>
          <w:rFonts w:hint="eastAsia" w:ascii="仿宋" w:hAnsi="仿宋" w:eastAsia="仿宋"/>
          <w:spacing w:val="-2"/>
          <w:sz w:val="32"/>
          <w:szCs w:val="32"/>
        </w:rPr>
        <w:t>财政资金的直接引导</w:t>
      </w:r>
      <w:r>
        <w:rPr>
          <w:rFonts w:hint="eastAsia" w:ascii="仿宋" w:hAnsi="仿宋" w:eastAsia="仿宋" w:cs="仿宋"/>
          <w:sz w:val="32"/>
          <w:szCs w:val="32"/>
          <w:lang w:val="en-US" w:eastAsia="zh-CN"/>
        </w:rPr>
        <w:t>，</w:t>
      </w:r>
      <w:r>
        <w:rPr>
          <w:rFonts w:hint="eastAsia" w:ascii="仿宋" w:hAnsi="仿宋" w:eastAsia="仿宋"/>
          <w:spacing w:val="-2"/>
          <w:sz w:val="32"/>
          <w:szCs w:val="32"/>
        </w:rPr>
        <w:t>我市职业教育得到进一步提升，在校学生和部分企业受培人员职业能力得到较大提升</w:t>
      </w:r>
      <w:r>
        <w:rPr>
          <w:rFonts w:hint="eastAsia" w:ascii="仿宋" w:hAnsi="仿宋" w:eastAsia="仿宋"/>
          <w:spacing w:val="-2"/>
          <w:sz w:val="32"/>
          <w:szCs w:val="32"/>
          <w:lang w:eastAsia="zh-CN"/>
        </w:rPr>
        <w:t>，</w:t>
      </w:r>
      <w:r>
        <w:rPr>
          <w:rFonts w:hint="eastAsia" w:ascii="仿宋" w:hAnsi="仿宋" w:eastAsia="仿宋" w:cs="仿宋"/>
          <w:sz w:val="32"/>
          <w:szCs w:val="32"/>
        </w:rPr>
        <w:t>切实完成年度绩效目标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发挥了资金使用效益。</w:t>
      </w:r>
      <w:r>
        <w:rPr>
          <w:rFonts w:hint="eastAsia" w:ascii="仿宋" w:hAnsi="仿宋" w:eastAsia="仿宋" w:cs="仿宋"/>
          <w:color w:val="000000" w:themeColor="text1"/>
          <w:kern w:val="0"/>
          <w:sz w:val="32"/>
          <w:szCs w:val="32"/>
          <w14:textFill>
            <w14:solidFill>
              <w14:schemeClr w14:val="tx1"/>
            </w14:solidFill>
          </w14:textFill>
        </w:rPr>
        <w:t>202</w:t>
      </w:r>
      <w:r>
        <w:rPr>
          <w:rFonts w:hint="eastAsia" w:ascii="仿宋" w:hAnsi="仿宋" w:eastAsia="仿宋" w:cs="仿宋"/>
          <w:color w:val="000000" w:themeColor="text1"/>
          <w:kern w:val="0"/>
          <w:sz w:val="32"/>
          <w:szCs w:val="32"/>
          <w:lang w:val="en-US" w:eastAsia="zh-CN"/>
          <w14:textFill>
            <w14:solidFill>
              <w14:schemeClr w14:val="tx1"/>
            </w14:solidFill>
          </w14:textFill>
        </w:rPr>
        <w:t>3</w:t>
      </w:r>
      <w:r>
        <w:rPr>
          <w:rFonts w:hint="eastAsia" w:ascii="仿宋" w:hAnsi="仿宋" w:eastAsia="仿宋" w:cs="仿宋"/>
          <w:color w:val="000000" w:themeColor="text1"/>
          <w:kern w:val="0"/>
          <w:sz w:val="32"/>
          <w:szCs w:val="32"/>
          <w14:textFill>
            <w14:solidFill>
              <w14:schemeClr w14:val="tx1"/>
            </w14:solidFill>
          </w14:textFill>
        </w:rPr>
        <w:t>年</w:t>
      </w:r>
      <w:r>
        <w:rPr>
          <w:rFonts w:hint="eastAsia" w:ascii="仿宋" w:hAnsi="仿宋" w:eastAsia="仿宋" w:cs="仿宋"/>
          <w:color w:val="000000" w:themeColor="text1"/>
          <w:kern w:val="0"/>
          <w:sz w:val="32"/>
          <w:szCs w:val="32"/>
          <w:lang w:val="en-US" w:eastAsia="zh-CN"/>
          <w14:textFill>
            <w14:solidFill>
              <w14:schemeClr w14:val="tx1"/>
            </w14:solidFill>
          </w14:textFill>
        </w:rPr>
        <w:t>部门</w:t>
      </w:r>
      <w:r>
        <w:rPr>
          <w:rFonts w:hint="eastAsia" w:ascii="仿宋" w:hAnsi="仿宋" w:eastAsia="仿宋" w:cs="仿宋"/>
          <w:color w:val="000000" w:themeColor="text1"/>
          <w:kern w:val="0"/>
          <w:sz w:val="32"/>
          <w:szCs w:val="32"/>
          <w14:textFill>
            <w14:solidFill>
              <w14:schemeClr w14:val="tx1"/>
            </w14:solidFill>
          </w14:textFill>
        </w:rPr>
        <w:t>整体支出绩效评价</w:t>
      </w:r>
      <w:r>
        <w:rPr>
          <w:rFonts w:hint="eastAsia" w:ascii="仿宋" w:hAnsi="仿宋" w:eastAsia="仿宋" w:cs="仿宋"/>
          <w:color w:val="000000" w:themeColor="text1"/>
          <w:kern w:val="0"/>
          <w:sz w:val="32"/>
          <w:szCs w:val="32"/>
          <w:lang w:val="en-US" w:eastAsia="zh-CN"/>
          <w14:textFill>
            <w14:solidFill>
              <w14:schemeClr w14:val="tx1"/>
            </w14:solidFill>
          </w14:textFill>
        </w:rPr>
        <w:t>报告</w:t>
      </w:r>
      <w:r>
        <w:rPr>
          <w:rFonts w:hint="eastAsia" w:ascii="仿宋" w:hAnsi="仿宋" w:eastAsia="仿宋" w:cs="仿宋"/>
          <w:color w:val="000000" w:themeColor="text1"/>
          <w:kern w:val="0"/>
          <w:sz w:val="32"/>
          <w:szCs w:val="32"/>
          <w14:textFill>
            <w14:solidFill>
              <w14:schemeClr w14:val="tx1"/>
            </w14:solidFill>
          </w14:textFill>
        </w:rPr>
        <w:t>详见附件</w:t>
      </w:r>
      <w:r>
        <w:rPr>
          <w:rFonts w:hint="eastAsia" w:ascii="仿宋" w:hAnsi="仿宋" w:eastAsia="仿宋" w:cs="仿宋"/>
          <w:color w:val="000000" w:themeColor="text1"/>
          <w:kern w:val="0"/>
          <w:sz w:val="32"/>
          <w:szCs w:val="32"/>
          <w:lang w:eastAsia="zh-CN"/>
          <w14:textFill>
            <w14:solidFill>
              <w14:schemeClr w14:val="tx1"/>
            </w14:solidFill>
          </w14:textFill>
        </w:rPr>
        <w:t>。</w:t>
      </w:r>
    </w:p>
    <w:p w14:paraId="37366595">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highlight w:val="none"/>
          <w:lang w:eastAsia="zh-CN"/>
        </w:rPr>
        <w:t>）</w:t>
      </w:r>
      <w:r>
        <w:rPr>
          <w:rFonts w:hint="eastAsia" w:ascii="楷体" w:hAnsi="楷体" w:eastAsia="楷体" w:cs="楷体"/>
          <w:b/>
          <w:bCs/>
          <w:sz w:val="32"/>
          <w:szCs w:val="32"/>
          <w:highlight w:val="none"/>
        </w:rPr>
        <w:t>存在的问题及原因分析</w:t>
      </w:r>
    </w:p>
    <w:p w14:paraId="6DCD1225">
      <w:pPr>
        <w:widowControl/>
        <w:shd w:val="clear" w:color="auto" w:fill="FFFFFF"/>
        <w:spacing w:line="600" w:lineRule="atLeas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、预算控制率有待降低</w:t>
      </w:r>
    </w:p>
    <w:p w14:paraId="2F080956">
      <w:pPr>
        <w:widowControl/>
        <w:shd w:val="clear" w:color="auto" w:fill="FFFFFF"/>
        <w:spacing w:line="600" w:lineRule="atLeast"/>
        <w:ind w:firstLine="64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受中方新校区土建、宿舍楼、食堂、图书馆、体育馆、教学楼、办公楼</w:t>
      </w:r>
      <w:r>
        <w:rPr>
          <w:rFonts w:hint="eastAsia" w:ascii="Times New Roman" w:hAnsi="Times New Roman" w:eastAsia="仿宋_GB2312" w:cs="Times New Roman"/>
          <w:sz w:val="32"/>
          <w:szCs w:val="32"/>
          <w:lang w:val="en-US" w:eastAsia="zh-CN"/>
        </w:rPr>
        <w:t>项目实施进度</w:t>
      </w:r>
      <w:r>
        <w:rPr>
          <w:rFonts w:hint="default" w:ascii="Times New Roman" w:hAnsi="Times New Roman" w:eastAsia="仿宋_GB2312" w:cs="Times New Roman"/>
          <w:sz w:val="32"/>
          <w:szCs w:val="32"/>
        </w:rPr>
        <w:t>影响，预算控制率</w:t>
      </w:r>
      <w:r>
        <w:rPr>
          <w:rFonts w:hint="eastAsia" w:ascii="Times New Roman" w:hAnsi="Times New Roman" w:eastAsia="仿宋_GB2312" w:cs="Times New Roman"/>
          <w:sz w:val="32"/>
          <w:szCs w:val="32"/>
          <w:lang w:val="en-US" w:eastAsia="zh-CN"/>
        </w:rPr>
        <w:t>未达预期目标。</w:t>
      </w:r>
    </w:p>
    <w:p w14:paraId="6CE8FBEE">
      <w:pPr>
        <w:widowControl/>
        <w:shd w:val="clear" w:color="auto" w:fill="FFFFFF"/>
        <w:spacing w:line="600" w:lineRule="atLeas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、绩效管理跟踪不到位</w:t>
      </w:r>
    </w:p>
    <w:p w14:paraId="4443ADAF">
      <w:pPr>
        <w:widowControl/>
        <w:shd w:val="clear" w:color="auto" w:fill="FFFFFF"/>
        <w:spacing w:line="60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rPr>
        <w:t>绩效管理理念不足，宣导力度不够，各科室使用资金时对绩效目标概</w:t>
      </w:r>
      <w:r>
        <w:rPr>
          <w:rFonts w:hint="default" w:ascii="Times New Roman" w:hAnsi="Times New Roman" w:eastAsia="仿宋_GB2312" w:cs="Times New Roman"/>
          <w:sz w:val="32"/>
          <w:szCs w:val="32"/>
          <w:highlight w:val="none"/>
        </w:rPr>
        <w:t>念认识不足，导致专项资金项目预算实施有偏差。</w:t>
      </w:r>
    </w:p>
    <w:p w14:paraId="2F89C277">
      <w:pPr>
        <w:widowControl/>
        <w:shd w:val="clear" w:color="auto" w:fill="FFFFFF"/>
        <w:spacing w:line="60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3、政府采购预算管理不到位</w:t>
      </w:r>
    </w:p>
    <w:p w14:paraId="72221F72">
      <w:pPr>
        <w:widowControl/>
        <w:shd w:val="clear" w:color="auto" w:fill="FFFFFF"/>
        <w:spacing w:line="60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受中方新校区土建、宿舍楼、食堂、图书馆、体育馆、教学楼、办公楼项目的影响，中方新校区</w:t>
      </w:r>
      <w:r>
        <w:rPr>
          <w:rFonts w:hint="eastAsia" w:ascii="Times New Roman" w:hAnsi="Times New Roman" w:eastAsia="仿宋_GB2312" w:cs="Times New Roman"/>
          <w:sz w:val="32"/>
          <w:szCs w:val="32"/>
          <w:highlight w:val="none"/>
          <w:lang w:val="en-US" w:eastAsia="zh-CN"/>
        </w:rPr>
        <w:t>政府采购影响</w:t>
      </w:r>
      <w:r>
        <w:rPr>
          <w:rFonts w:hint="default" w:ascii="Times New Roman" w:hAnsi="Times New Roman" w:eastAsia="仿宋_GB2312" w:cs="Times New Roman"/>
          <w:sz w:val="32"/>
          <w:szCs w:val="32"/>
          <w:highlight w:val="none"/>
        </w:rPr>
        <w:t>政府采购预算</w:t>
      </w:r>
      <w:r>
        <w:rPr>
          <w:rFonts w:hint="eastAsia" w:ascii="Times New Roman" w:hAnsi="Times New Roman" w:eastAsia="仿宋_GB2312" w:cs="Times New Roman"/>
          <w:sz w:val="32"/>
          <w:szCs w:val="32"/>
          <w:highlight w:val="none"/>
          <w:lang w:val="en-US" w:eastAsia="zh-CN"/>
        </w:rPr>
        <w:t>执行</w:t>
      </w:r>
      <w:r>
        <w:rPr>
          <w:rFonts w:hint="default" w:ascii="Times New Roman" w:hAnsi="Times New Roman" w:eastAsia="仿宋_GB2312" w:cs="Times New Roman"/>
          <w:sz w:val="32"/>
          <w:szCs w:val="32"/>
          <w:highlight w:val="none"/>
        </w:rPr>
        <w:t>。</w:t>
      </w:r>
    </w:p>
    <w:p w14:paraId="5245E6A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p>
    <w:p w14:paraId="7A425E03">
      <w:pPr>
        <w:pStyle w:val="12"/>
        <w:jc w:val="both"/>
        <w:rPr>
          <w:sz w:val="72"/>
          <w:szCs w:val="72"/>
        </w:rPr>
      </w:pPr>
    </w:p>
    <w:p w14:paraId="13CD16C4">
      <w:pPr>
        <w:pStyle w:val="12"/>
        <w:jc w:val="both"/>
        <w:rPr>
          <w:rFonts w:hint="eastAsia" w:ascii="方正小标宋_GBK" w:hAnsi="方正小标宋_GBK" w:eastAsia="方正小标宋_GBK" w:cs="方正小标宋_GBK"/>
          <w:sz w:val="72"/>
          <w:szCs w:val="72"/>
        </w:rPr>
      </w:pPr>
    </w:p>
    <w:p w14:paraId="2E59112E">
      <w:pPr>
        <w:pStyle w:val="12"/>
        <w:jc w:val="center"/>
        <w:rPr>
          <w:rFonts w:hint="eastAsia" w:ascii="方正小标宋_GBK" w:hAnsi="方正小标宋_GBK" w:eastAsia="方正小标宋_GBK" w:cs="方正小标宋_GBK"/>
          <w:sz w:val="72"/>
          <w:szCs w:val="72"/>
        </w:rPr>
      </w:pPr>
    </w:p>
    <w:p w14:paraId="5AFFF88A">
      <w:pPr>
        <w:pStyle w:val="12"/>
        <w:jc w:val="center"/>
        <w:rPr>
          <w:rFonts w:hint="eastAsia" w:ascii="方正小标宋_GBK" w:hAnsi="方正小标宋_GBK" w:eastAsia="方正小标宋_GBK" w:cs="方正小标宋_GBK"/>
          <w:sz w:val="72"/>
          <w:szCs w:val="72"/>
        </w:rPr>
      </w:pPr>
    </w:p>
    <w:p w14:paraId="18ADB5D9">
      <w:pPr>
        <w:pStyle w:val="12"/>
        <w:jc w:val="center"/>
        <w:rPr>
          <w:rFonts w:hint="eastAsia" w:ascii="方正小标宋_GBK" w:hAnsi="方正小标宋_GBK" w:eastAsia="方正小标宋_GBK" w:cs="方正小标宋_GBK"/>
          <w:sz w:val="72"/>
          <w:szCs w:val="72"/>
        </w:rPr>
      </w:pPr>
    </w:p>
    <w:p w14:paraId="722C5A24">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585E822">
      <w:pPr>
        <w:jc w:val="center"/>
        <w:rPr>
          <w:rFonts w:hint="eastAsia" w:ascii="方正小标宋_GBK" w:hAnsi="方正小标宋_GBK" w:eastAsia="方正小标宋_GBK" w:cs="方正小标宋_GBK"/>
          <w:color w:val="000000"/>
          <w:kern w:val="0"/>
          <w:sz w:val="70"/>
          <w:szCs w:val="70"/>
        </w:rPr>
      </w:pPr>
    </w:p>
    <w:p w14:paraId="0721A329">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564067F">
      <w:pPr>
        <w:pStyle w:val="2"/>
        <w:rPr>
          <w:rFonts w:hint="eastAsia" w:ascii="方正小标宋_GBK" w:hAnsi="方正小标宋_GBK" w:eastAsia="方正小标宋_GBK" w:cs="方正小标宋_GBK"/>
          <w:color w:val="000000"/>
          <w:kern w:val="0"/>
          <w:sz w:val="70"/>
          <w:szCs w:val="70"/>
        </w:rPr>
      </w:pPr>
    </w:p>
    <w:p w14:paraId="35D837A6">
      <w:pPr>
        <w:pStyle w:val="3"/>
        <w:rPr>
          <w:rFonts w:hint="eastAsia" w:ascii="方正小标宋_GBK" w:hAnsi="方正小标宋_GBK" w:eastAsia="方正小标宋_GBK" w:cs="方正小标宋_GBK"/>
          <w:color w:val="000000"/>
          <w:kern w:val="0"/>
          <w:sz w:val="70"/>
          <w:szCs w:val="70"/>
        </w:rPr>
      </w:pPr>
    </w:p>
    <w:p w14:paraId="23BA5EEC">
      <w:pPr>
        <w:rPr>
          <w:rFonts w:hint="eastAsia" w:ascii="方正小标宋_GBK" w:hAnsi="方正小标宋_GBK" w:eastAsia="方正小标宋_GBK" w:cs="方正小标宋_GBK"/>
          <w:color w:val="000000"/>
          <w:kern w:val="0"/>
          <w:sz w:val="70"/>
          <w:szCs w:val="70"/>
        </w:rPr>
      </w:pPr>
    </w:p>
    <w:p w14:paraId="272C951D">
      <w:pPr>
        <w:pStyle w:val="2"/>
        <w:rPr>
          <w:rFonts w:hint="eastAsia"/>
        </w:rPr>
      </w:pPr>
    </w:p>
    <w:p w14:paraId="1B6F4DAC">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05D423A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14:paraId="554E109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仿宋" w:hAnsi="仿宋" w:eastAsia="仿宋"/>
          <w:sz w:val="32"/>
          <w:szCs w:val="32"/>
        </w:rPr>
      </w:pPr>
      <w:r>
        <w:rPr>
          <w:rFonts w:hint="eastAsia" w:ascii="Times New Roman" w:hAnsi="Times New Roman" w:eastAsia="仿宋_GB2312"/>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1FC91C3">
      <w:pPr>
        <w:pStyle w:val="12"/>
        <w:jc w:val="center"/>
        <w:rPr>
          <w:sz w:val="72"/>
          <w:szCs w:val="72"/>
        </w:rPr>
      </w:pPr>
    </w:p>
    <w:p w14:paraId="00609FA5">
      <w:pPr>
        <w:pStyle w:val="12"/>
        <w:jc w:val="center"/>
        <w:rPr>
          <w:sz w:val="72"/>
          <w:szCs w:val="72"/>
        </w:rPr>
      </w:pPr>
    </w:p>
    <w:p w14:paraId="70A74F25">
      <w:pPr>
        <w:pStyle w:val="12"/>
        <w:jc w:val="center"/>
        <w:rPr>
          <w:sz w:val="72"/>
          <w:szCs w:val="72"/>
        </w:rPr>
      </w:pPr>
    </w:p>
    <w:p w14:paraId="3BBDA55C">
      <w:pPr>
        <w:pStyle w:val="12"/>
        <w:jc w:val="center"/>
        <w:rPr>
          <w:sz w:val="72"/>
          <w:szCs w:val="72"/>
        </w:rPr>
      </w:pPr>
    </w:p>
    <w:p w14:paraId="542942C8">
      <w:pPr>
        <w:pStyle w:val="12"/>
        <w:jc w:val="center"/>
        <w:rPr>
          <w:sz w:val="72"/>
          <w:szCs w:val="72"/>
        </w:rPr>
      </w:pPr>
    </w:p>
    <w:p w14:paraId="78C55DF9">
      <w:pPr>
        <w:pStyle w:val="12"/>
        <w:jc w:val="center"/>
        <w:rPr>
          <w:sz w:val="72"/>
          <w:szCs w:val="72"/>
        </w:rPr>
      </w:pPr>
    </w:p>
    <w:p w14:paraId="12A15E48">
      <w:pPr>
        <w:pStyle w:val="12"/>
        <w:jc w:val="center"/>
        <w:rPr>
          <w:sz w:val="72"/>
          <w:szCs w:val="72"/>
        </w:rPr>
      </w:pPr>
    </w:p>
    <w:p w14:paraId="1BAF86AC">
      <w:pPr>
        <w:pStyle w:val="12"/>
        <w:jc w:val="center"/>
        <w:rPr>
          <w:sz w:val="72"/>
          <w:szCs w:val="72"/>
        </w:rPr>
      </w:pPr>
    </w:p>
    <w:p w14:paraId="0433C2C4">
      <w:pPr>
        <w:rPr>
          <w:sz w:val="72"/>
          <w:szCs w:val="72"/>
        </w:rPr>
      </w:pPr>
      <w:r>
        <w:rPr>
          <w:sz w:val="72"/>
          <w:szCs w:val="72"/>
        </w:rPr>
        <w:br w:type="page"/>
      </w:r>
    </w:p>
    <w:p w14:paraId="3D3505AA">
      <w:pPr>
        <w:pStyle w:val="12"/>
        <w:jc w:val="center"/>
        <w:rPr>
          <w:rFonts w:hint="eastAsia" w:ascii="方正小标宋_GBK" w:hAnsi="方正小标宋_GBK" w:eastAsia="方正小标宋_GBK" w:cs="方正小标宋_GBK"/>
          <w:sz w:val="72"/>
          <w:szCs w:val="72"/>
        </w:rPr>
      </w:pPr>
    </w:p>
    <w:p w14:paraId="50A88ECC">
      <w:pPr>
        <w:pStyle w:val="12"/>
        <w:jc w:val="both"/>
        <w:rPr>
          <w:rFonts w:hint="eastAsia" w:ascii="方正小标宋_GBK" w:hAnsi="方正小标宋_GBK" w:eastAsia="方正小标宋_GBK" w:cs="方正小标宋_GBK"/>
          <w:sz w:val="72"/>
          <w:szCs w:val="72"/>
        </w:rPr>
      </w:pPr>
    </w:p>
    <w:p w14:paraId="38CFEA55">
      <w:pPr>
        <w:pStyle w:val="12"/>
        <w:jc w:val="center"/>
        <w:rPr>
          <w:rFonts w:hint="eastAsia" w:ascii="方正小标宋_GBK" w:hAnsi="方正小标宋_GBK" w:eastAsia="方正小标宋_GBK" w:cs="方正小标宋_GBK"/>
          <w:sz w:val="72"/>
          <w:szCs w:val="72"/>
        </w:rPr>
      </w:pPr>
    </w:p>
    <w:p w14:paraId="4470F39C">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F7EB0C0">
      <w:pPr>
        <w:pStyle w:val="12"/>
        <w:jc w:val="center"/>
        <w:rPr>
          <w:rFonts w:hint="eastAsia" w:ascii="方正小标宋_GBK" w:hAnsi="方正小标宋_GBK" w:eastAsia="方正小标宋_GBK" w:cs="方正小标宋_GBK"/>
          <w:sz w:val="70"/>
          <w:szCs w:val="70"/>
        </w:rPr>
      </w:pPr>
    </w:p>
    <w:p w14:paraId="29C35B0C">
      <w:pPr>
        <w:pStyle w:val="12"/>
        <w:jc w:val="center"/>
        <w:rPr>
          <w:rFonts w:hint="eastAsia" w:ascii="方正小标宋_GBK" w:hAnsi="方正小标宋_GBK" w:eastAsia="方正小标宋_GBK" w:cs="方正小标宋_GBK"/>
          <w:sz w:val="70"/>
          <w:szCs w:val="70"/>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49B2ACCE">
      <w:pPr>
        <w:pStyle w:val="12"/>
        <w:jc w:val="center"/>
        <w:rPr>
          <w:rFonts w:hint="eastAsia" w:ascii="方正小标宋_GBK" w:hAnsi="方正小标宋_GBK" w:eastAsia="方正小标宋_GBK" w:cs="方正小标宋_GBK"/>
          <w:sz w:val="70"/>
          <w:szCs w:val="70"/>
          <w:lang w:eastAsia="zh-CN"/>
        </w:rPr>
      </w:pPr>
    </w:p>
    <w:p w14:paraId="0BFB28E2">
      <w:pPr>
        <w:pStyle w:val="12"/>
        <w:jc w:val="center"/>
        <w:rPr>
          <w:rFonts w:hint="eastAsia" w:ascii="方正小标宋_GBK" w:hAnsi="方正小标宋_GBK" w:eastAsia="方正小标宋_GBK" w:cs="方正小标宋_GBK"/>
          <w:sz w:val="70"/>
          <w:szCs w:val="70"/>
          <w:lang w:eastAsia="zh-CN"/>
        </w:rPr>
      </w:pPr>
    </w:p>
    <w:p w14:paraId="46A7FC88">
      <w:pPr>
        <w:rPr>
          <w:rFonts w:hint="eastAsia" w:ascii="Times New Roman" w:hAnsi="Times New Roman" w:eastAsia="仿宋_GB2312"/>
          <w:sz w:val="32"/>
          <w:szCs w:val="32"/>
          <w:lang w:val="en-US" w:eastAsia="zh-CN"/>
        </w:rPr>
      </w:pPr>
      <w:r>
        <w:rPr>
          <w:sz w:val="72"/>
          <w:szCs w:val="72"/>
        </w:rPr>
        <w:br w:type="page"/>
      </w:r>
    </w:p>
    <w:p w14:paraId="4DDCA18D">
      <w:pPr>
        <w:pStyle w:val="12"/>
        <w:jc w:val="center"/>
        <w:rPr>
          <w:sz w:val="72"/>
          <w:szCs w:val="72"/>
        </w:rPr>
      </w:pPr>
    </w:p>
    <w:p w14:paraId="2F35052B">
      <w:pPr>
        <w:pStyle w:val="12"/>
        <w:jc w:val="center"/>
        <w:rPr>
          <w:sz w:val="72"/>
          <w:szCs w:val="72"/>
        </w:rPr>
      </w:pPr>
    </w:p>
    <w:p w14:paraId="5C1B597C">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F67FF8"/>
    <w:multiLevelType w:val="singleLevel"/>
    <w:tmpl w:val="67F67FF8"/>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iYzM3YTk1NmIwZmJhZGEyNGFiOTQ4ZmVhZjM5MjA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D7D62"/>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41E35"/>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380E83"/>
    <w:rsid w:val="031E451D"/>
    <w:rsid w:val="0326729D"/>
    <w:rsid w:val="038A7E04"/>
    <w:rsid w:val="041A1188"/>
    <w:rsid w:val="054D2E98"/>
    <w:rsid w:val="058F1702"/>
    <w:rsid w:val="061439B5"/>
    <w:rsid w:val="06D51397"/>
    <w:rsid w:val="083D3697"/>
    <w:rsid w:val="087B41C0"/>
    <w:rsid w:val="093127F4"/>
    <w:rsid w:val="0A1D552E"/>
    <w:rsid w:val="0C0D7C07"/>
    <w:rsid w:val="0CA754B7"/>
    <w:rsid w:val="125735A8"/>
    <w:rsid w:val="12B75DF4"/>
    <w:rsid w:val="136713CA"/>
    <w:rsid w:val="138C102F"/>
    <w:rsid w:val="168D3A3C"/>
    <w:rsid w:val="19D96F98"/>
    <w:rsid w:val="1B5A1A13"/>
    <w:rsid w:val="1D97DEFF"/>
    <w:rsid w:val="1DE63D47"/>
    <w:rsid w:val="1DFF72E5"/>
    <w:rsid w:val="1EFC6F07"/>
    <w:rsid w:val="1F1C595D"/>
    <w:rsid w:val="1F2C1918"/>
    <w:rsid w:val="200563F1"/>
    <w:rsid w:val="201C373B"/>
    <w:rsid w:val="21532EA3"/>
    <w:rsid w:val="22AC4296"/>
    <w:rsid w:val="258D6164"/>
    <w:rsid w:val="258E6E89"/>
    <w:rsid w:val="26243349"/>
    <w:rsid w:val="27651E6B"/>
    <w:rsid w:val="27D042B1"/>
    <w:rsid w:val="28B05417"/>
    <w:rsid w:val="28C43BF7"/>
    <w:rsid w:val="28D96689"/>
    <w:rsid w:val="28F74D45"/>
    <w:rsid w:val="2D452523"/>
    <w:rsid w:val="2D4D587B"/>
    <w:rsid w:val="2EAC037F"/>
    <w:rsid w:val="2F2257D4"/>
    <w:rsid w:val="2FDB53C0"/>
    <w:rsid w:val="2FDF85B8"/>
    <w:rsid w:val="2FFFEE04"/>
    <w:rsid w:val="302E54F0"/>
    <w:rsid w:val="313613CE"/>
    <w:rsid w:val="319E0453"/>
    <w:rsid w:val="339E473B"/>
    <w:rsid w:val="34DF85B0"/>
    <w:rsid w:val="36B545FC"/>
    <w:rsid w:val="374B2E2B"/>
    <w:rsid w:val="377E4FAF"/>
    <w:rsid w:val="388248E0"/>
    <w:rsid w:val="38F94373"/>
    <w:rsid w:val="39E11825"/>
    <w:rsid w:val="3A06303A"/>
    <w:rsid w:val="3B8F36BC"/>
    <w:rsid w:val="3C9506A5"/>
    <w:rsid w:val="3CDD0C23"/>
    <w:rsid w:val="3D6562C9"/>
    <w:rsid w:val="3F076CEE"/>
    <w:rsid w:val="3F0833B0"/>
    <w:rsid w:val="3F4E79BB"/>
    <w:rsid w:val="410B53D9"/>
    <w:rsid w:val="41FD4D22"/>
    <w:rsid w:val="4255690C"/>
    <w:rsid w:val="45022F59"/>
    <w:rsid w:val="459040FF"/>
    <w:rsid w:val="4646138E"/>
    <w:rsid w:val="46A2058E"/>
    <w:rsid w:val="491FF225"/>
    <w:rsid w:val="4E2B70BB"/>
    <w:rsid w:val="4FFD214C"/>
    <w:rsid w:val="50342257"/>
    <w:rsid w:val="50AE34C0"/>
    <w:rsid w:val="50B82E88"/>
    <w:rsid w:val="516A7EFA"/>
    <w:rsid w:val="51B4176D"/>
    <w:rsid w:val="53F1220D"/>
    <w:rsid w:val="544B4013"/>
    <w:rsid w:val="54521427"/>
    <w:rsid w:val="54B90F7D"/>
    <w:rsid w:val="55822675"/>
    <w:rsid w:val="5777D4F5"/>
    <w:rsid w:val="58C16652"/>
    <w:rsid w:val="59DD8326"/>
    <w:rsid w:val="5A096502"/>
    <w:rsid w:val="5ADC3C17"/>
    <w:rsid w:val="5AFC1BC3"/>
    <w:rsid w:val="5BFC5BF3"/>
    <w:rsid w:val="5C9C18B0"/>
    <w:rsid w:val="5CBF559E"/>
    <w:rsid w:val="5D2D075A"/>
    <w:rsid w:val="5DA95AF4"/>
    <w:rsid w:val="5DEF592A"/>
    <w:rsid w:val="5F9068B8"/>
    <w:rsid w:val="5FC6BB1E"/>
    <w:rsid w:val="5FF720F1"/>
    <w:rsid w:val="6065645C"/>
    <w:rsid w:val="61007F33"/>
    <w:rsid w:val="612C2AD6"/>
    <w:rsid w:val="61783F6D"/>
    <w:rsid w:val="618573FF"/>
    <w:rsid w:val="62353C0D"/>
    <w:rsid w:val="623E3FDC"/>
    <w:rsid w:val="63497660"/>
    <w:rsid w:val="65273CE0"/>
    <w:rsid w:val="654F0A51"/>
    <w:rsid w:val="65C6799D"/>
    <w:rsid w:val="663568D1"/>
    <w:rsid w:val="67FF5C0B"/>
    <w:rsid w:val="68741EC4"/>
    <w:rsid w:val="69796AD5"/>
    <w:rsid w:val="6BDD159D"/>
    <w:rsid w:val="6C5B4EBE"/>
    <w:rsid w:val="6D20570B"/>
    <w:rsid w:val="6DCA78FF"/>
    <w:rsid w:val="6EFC0924"/>
    <w:rsid w:val="6F320BA7"/>
    <w:rsid w:val="6F9E54E7"/>
    <w:rsid w:val="6FB74722"/>
    <w:rsid w:val="6FEF8B7E"/>
    <w:rsid w:val="704B1CC5"/>
    <w:rsid w:val="70576F2F"/>
    <w:rsid w:val="71A6591B"/>
    <w:rsid w:val="737D59BA"/>
    <w:rsid w:val="745D327B"/>
    <w:rsid w:val="757E1225"/>
    <w:rsid w:val="75DF1BE1"/>
    <w:rsid w:val="77C37683"/>
    <w:rsid w:val="783C1B69"/>
    <w:rsid w:val="789E20B4"/>
    <w:rsid w:val="78DF267E"/>
    <w:rsid w:val="79FF515B"/>
    <w:rsid w:val="7B0703E4"/>
    <w:rsid w:val="7BA93249"/>
    <w:rsid w:val="7BFC5AEB"/>
    <w:rsid w:val="7E186464"/>
    <w:rsid w:val="7E9E1962"/>
    <w:rsid w:val="7E9F11B4"/>
    <w:rsid w:val="7EDB5E10"/>
    <w:rsid w:val="7EFC5D86"/>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 w:type="paragraph" w:customStyle="1" w:styleId="18">
    <w:name w:val="BodyText1I"/>
    <w:basedOn w:val="1"/>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4666</Words>
  <Characters>5091</Characters>
  <Lines>63</Lines>
  <Paragraphs>18</Paragraphs>
  <TotalTime>0</TotalTime>
  <ScaleCrop>false</ScaleCrop>
  <LinksUpToDate>false</LinksUpToDate>
  <CharactersWithSpaces>5099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&lt;_&gt;</cp:lastModifiedBy>
  <cp:lastPrinted>2024-08-08T10:20:00Z</cp:lastPrinted>
  <dcterms:modified xsi:type="dcterms:W3CDTF">2024-09-25T03:11:45Z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6AB6E638A3854D8ABFD45BE08ACB2872_12</vt:lpwstr>
  </property>
</Properties>
</file>