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A08C4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0" w:right="0" w:firstLine="0"/>
        <w:jc w:val="center"/>
        <w:textAlignment w:val="auto"/>
        <w:rPr>
          <w:rFonts w:hint="eastAsia" w:ascii="方正小标宋_GBK" w:hAnsi="方正小标宋_GBK" w:eastAsia="方正小标宋_GBK" w:cs="方正小标宋_GBK"/>
          <w:b w:val="0"/>
          <w:bCs w:val="0"/>
          <w:i w:val="0"/>
          <w:iCs w:val="0"/>
          <w:caps w:val="0"/>
          <w:color w:val="auto"/>
          <w:spacing w:val="0"/>
          <w:sz w:val="44"/>
          <w:szCs w:val="44"/>
          <w:shd w:val="clear" w:fill="FFFFFF"/>
        </w:rPr>
      </w:pPr>
    </w:p>
    <w:p w14:paraId="4FE7C0B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0" w:right="0" w:firstLine="0"/>
        <w:jc w:val="center"/>
        <w:textAlignment w:val="auto"/>
        <w:rPr>
          <w:rFonts w:ascii="方正小标宋_GBK" w:hAnsi="方正小标宋_GBK" w:eastAsia="方正小标宋_GBK" w:cs="方正小标宋_GBK"/>
          <w:b w:val="0"/>
          <w:bCs w:val="0"/>
          <w:i w:val="0"/>
          <w:iCs w:val="0"/>
          <w:caps w:val="0"/>
          <w:color w:val="auto"/>
          <w:spacing w:val="0"/>
          <w:sz w:val="44"/>
          <w:szCs w:val="44"/>
        </w:rPr>
      </w:pPr>
      <w:bookmarkStart w:id="0" w:name="_GoBack"/>
      <w:bookmarkEnd w:id="0"/>
      <w:r>
        <w:rPr>
          <w:rFonts w:hint="eastAsia" w:ascii="方正小标宋_GBK" w:hAnsi="方正小标宋_GBK" w:eastAsia="方正小标宋_GBK" w:cs="方正小标宋_GBK"/>
          <w:b w:val="0"/>
          <w:bCs w:val="0"/>
          <w:i w:val="0"/>
          <w:iCs w:val="0"/>
          <w:caps w:val="0"/>
          <w:color w:val="auto"/>
          <w:spacing w:val="0"/>
          <w:sz w:val="44"/>
          <w:szCs w:val="44"/>
          <w:shd w:val="clear" w:fill="FFFFFF"/>
        </w:rPr>
        <w:t>部门整体支出绩效自评报告</w:t>
      </w:r>
    </w:p>
    <w:p w14:paraId="0957E90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0" w:right="0" w:firstLine="0"/>
        <w:jc w:val="center"/>
        <w:textAlignment w:val="auto"/>
        <w:rPr>
          <w:rFonts w:ascii="仿宋_GB2312" w:eastAsia="仿宋_GB2312" w:cs="仿宋_GB2312"/>
          <w:b w:val="0"/>
          <w:bCs w:val="0"/>
          <w:i w:val="0"/>
          <w:iCs w:val="0"/>
          <w:caps w:val="0"/>
          <w:color w:val="auto"/>
          <w:spacing w:val="0"/>
          <w:sz w:val="24"/>
          <w:szCs w:val="24"/>
        </w:rPr>
      </w:pPr>
    </w:p>
    <w:p w14:paraId="2F98DBC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sz w:val="32"/>
          <w:szCs w:val="32"/>
          <w:shd w:val="clear" w:fill="FFFFFF"/>
        </w:rPr>
        <w:t>一、部门、单位基本情况</w:t>
      </w:r>
    </w:p>
    <w:p w14:paraId="59E8226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40" w:firstLineChars="200"/>
        <w:textAlignment w:val="auto"/>
        <w:rPr>
          <w:rFonts w:hint="default" w:ascii="楷体_GB2312" w:eastAsia="楷体_GB2312" w:cs="楷体_GB2312"/>
          <w:i w:val="0"/>
          <w:iCs w:val="0"/>
          <w:caps w:val="0"/>
          <w:color w:val="auto"/>
          <w:spacing w:val="0"/>
          <w:sz w:val="32"/>
          <w:szCs w:val="32"/>
          <w:shd w:val="clear" w:fill="FFFFFF"/>
        </w:rPr>
      </w:pPr>
      <w:r>
        <w:rPr>
          <w:rFonts w:hint="default" w:ascii="楷体_GB2312" w:eastAsia="楷体_GB2312" w:cs="楷体_GB2312"/>
          <w:i w:val="0"/>
          <w:iCs w:val="0"/>
          <w:caps w:val="0"/>
          <w:color w:val="auto"/>
          <w:spacing w:val="0"/>
          <w:sz w:val="32"/>
          <w:szCs w:val="32"/>
          <w:shd w:val="clear" w:fill="FFFFFF"/>
        </w:rPr>
        <w:t>（一）机构设置情况</w:t>
      </w:r>
    </w:p>
    <w:p w14:paraId="099A056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default"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湖南省怀化工业中等专业学校作为一级部门预算单位，内设部室包括：党政办公室、组织人事部、教务部、学生工作部、财务部、总务部、保卫部、纪检监察室、实习培训中心、团委、基础部、专业部。</w:t>
      </w:r>
    </w:p>
    <w:p w14:paraId="4C3B91F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40" w:firstLineChars="200"/>
        <w:textAlignment w:val="auto"/>
        <w:rPr>
          <w:rFonts w:hint="default" w:ascii="楷体_GB2312" w:eastAsia="楷体_GB2312" w:cs="楷体_GB2312"/>
          <w:i w:val="0"/>
          <w:iCs w:val="0"/>
          <w:caps w:val="0"/>
          <w:color w:val="auto"/>
          <w:spacing w:val="0"/>
          <w:sz w:val="32"/>
          <w:szCs w:val="32"/>
          <w:shd w:val="clear" w:fill="FFFFFF"/>
        </w:rPr>
      </w:pPr>
      <w:r>
        <w:rPr>
          <w:rFonts w:hint="default" w:ascii="楷体_GB2312" w:eastAsia="楷体_GB2312" w:cs="楷体_GB2312"/>
          <w:i w:val="0"/>
          <w:iCs w:val="0"/>
          <w:caps w:val="0"/>
          <w:color w:val="auto"/>
          <w:spacing w:val="0"/>
          <w:sz w:val="32"/>
          <w:szCs w:val="32"/>
          <w:shd w:val="clear" w:fill="FFFFFF"/>
        </w:rPr>
        <w:t>（二）人员编制情况</w:t>
      </w:r>
    </w:p>
    <w:p w14:paraId="6D978B0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40" w:firstLineChars="200"/>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val="en-US" w:eastAsia="zh-CN"/>
        </w:rPr>
        <w:t>本单位2023年人员编制194人，期末在职人员187人。</w:t>
      </w:r>
    </w:p>
    <w:p w14:paraId="482108A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40" w:firstLineChars="200"/>
        <w:textAlignment w:val="auto"/>
        <w:rPr>
          <w:rFonts w:hint="default" w:ascii="楷体_GB2312" w:eastAsia="楷体_GB2312" w:cs="楷体_GB2312"/>
          <w:i w:val="0"/>
          <w:iCs w:val="0"/>
          <w:caps w:val="0"/>
          <w:color w:val="auto"/>
          <w:spacing w:val="0"/>
          <w:sz w:val="32"/>
          <w:szCs w:val="32"/>
          <w:shd w:val="clear" w:fill="FFFFFF"/>
        </w:rPr>
      </w:pPr>
      <w:r>
        <w:rPr>
          <w:rFonts w:hint="default" w:ascii="楷体_GB2312" w:eastAsia="楷体_GB2312" w:cs="楷体_GB2312"/>
          <w:i w:val="0"/>
          <w:iCs w:val="0"/>
          <w:caps w:val="0"/>
          <w:color w:val="auto"/>
          <w:spacing w:val="0"/>
          <w:sz w:val="32"/>
          <w:szCs w:val="32"/>
          <w:shd w:val="clear" w:fill="FFFFFF"/>
        </w:rPr>
        <w:t>（三）主要职能职责</w:t>
      </w:r>
    </w:p>
    <w:p w14:paraId="24C7244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1）湖南省怀化工业中等专业学校（湖南省怀化工业高级技工学校）是集全日制中专、成人教育、技校、短期培训为一体的全日制综合性公办中等职业学校，以促进就业为导向，以技术技能为重点，培养适应经济社会发展需要的高素质技术技能型人才。</w:t>
      </w:r>
    </w:p>
    <w:p w14:paraId="0D722C9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default" w:ascii="楷体_GB2312" w:eastAsia="楷体_GB2312" w:cs="楷体_GB2312"/>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lang w:val="en-US" w:eastAsia="zh-CN"/>
        </w:rPr>
        <w:t>（2）面向社会开展高技能人才培训、农村劳动力转移技能培训、退转军人职业能力培训、创业能力培训等服务，形成多层次技能型人才培养的格局。</w:t>
      </w:r>
    </w:p>
    <w:p w14:paraId="40B35102">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420" w:leftChars="0" w:right="0" w:firstLine="0" w:firstLineChars="0"/>
        <w:textAlignment w:val="auto"/>
        <w:rPr>
          <w:rFonts w:hint="default" w:ascii="楷体_GB2312" w:eastAsia="楷体_GB2312" w:cs="楷体_GB2312"/>
          <w:i w:val="0"/>
          <w:iCs w:val="0"/>
          <w:caps w:val="0"/>
          <w:color w:val="auto"/>
          <w:spacing w:val="0"/>
          <w:sz w:val="32"/>
          <w:szCs w:val="32"/>
          <w:shd w:val="clear" w:fill="FFFFFF"/>
        </w:rPr>
      </w:pPr>
      <w:r>
        <w:rPr>
          <w:rFonts w:hint="default" w:ascii="楷体_GB2312" w:eastAsia="楷体_GB2312" w:cs="楷体_GB2312"/>
          <w:i w:val="0"/>
          <w:iCs w:val="0"/>
          <w:caps w:val="0"/>
          <w:color w:val="auto"/>
          <w:spacing w:val="0"/>
          <w:sz w:val="32"/>
          <w:szCs w:val="32"/>
          <w:shd w:val="clear" w:fill="FFFFFF"/>
        </w:rPr>
        <w:t>绩效目标设定情况</w:t>
      </w:r>
    </w:p>
    <w:p w14:paraId="4FC86D9A">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Chars="0" w:right="0" w:rightChars="0" w:firstLine="640" w:firstLineChars="200"/>
        <w:textAlignment w:val="auto"/>
        <w:rPr>
          <w:rFonts w:hint="eastAsia" w:ascii="楷体_GB2312" w:hAnsi="仿宋" w:eastAsia="楷体_GB2312" w:cs="楷体_GB2312"/>
          <w:i w:val="0"/>
          <w:iCs w:val="0"/>
          <w:caps w:val="0"/>
          <w:color w:val="auto"/>
          <w:spacing w:val="0"/>
          <w:sz w:val="30"/>
          <w:szCs w:val="30"/>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 xml:space="preserve"> 坚持以习近平新时代中国特色社会主义思想为指导，坚定社会主义办学方向，贯彻党的教育方针，以立德树人为根本，以服务发展为宗旨，以促进就业为导向。按照“以人为本，严谨治校，德育为先，多彩发展，校企合作，专精技能，开拓创新，提升内涵”的办学理念，根据“依托市场办专业、办好专业兴产业、兴旺产业促就业”的办学思路，坚持产教融合、校企合作，工学结合、知行合一，培养爱岗敬业、诚实守信，具有社会责任感、实践能力和创新精神的高素质劳动者和技术技能型应用人才。紧紧围绕楚怡校改扩建中心工作和创建怀化工商职业技术学院中心任务，创建片区引领、省内先进的卓越中等职业学校。</w:t>
      </w:r>
    </w:p>
    <w:p w14:paraId="6BB09A5C">
      <w:pPr>
        <w:keepNext w:val="0"/>
        <w:keepLines w:val="0"/>
        <w:pageBreakBefore w:val="0"/>
        <w:numPr>
          <w:ilvl w:val="0"/>
          <w:numId w:val="0"/>
        </w:numPr>
        <w:kinsoku/>
        <w:wordWrap/>
        <w:overflowPunct/>
        <w:topLinePunct w:val="0"/>
        <w:autoSpaceDE/>
        <w:autoSpaceDN/>
        <w:bidi w:val="0"/>
        <w:adjustRightInd/>
        <w:snapToGrid w:val="0"/>
        <w:spacing w:line="520" w:lineRule="exact"/>
        <w:ind w:firstLine="0"/>
        <w:textAlignment w:val="auto"/>
        <w:rPr>
          <w:rFonts w:hint="eastAsia" w:ascii="黑体" w:hAnsi="黑体" w:eastAsia="黑体" w:cs="黑体"/>
          <w:i w:val="0"/>
          <w:iCs w:val="0"/>
          <w:caps w:val="0"/>
          <w:color w:val="auto"/>
          <w:spacing w:val="0"/>
          <w:kern w:val="0"/>
          <w:sz w:val="32"/>
          <w:szCs w:val="32"/>
          <w:shd w:val="clear" w:fill="FFFFFF"/>
          <w:lang w:val="en-US" w:eastAsia="zh-CN" w:bidi="ar"/>
        </w:rPr>
      </w:pPr>
      <w:r>
        <w:rPr>
          <w:rFonts w:hint="eastAsia" w:ascii="黑体" w:hAnsi="黑体" w:eastAsia="黑体" w:cs="黑体"/>
          <w:i w:val="0"/>
          <w:iCs w:val="0"/>
          <w:caps w:val="0"/>
          <w:color w:val="auto"/>
          <w:spacing w:val="0"/>
          <w:kern w:val="0"/>
          <w:sz w:val="32"/>
          <w:szCs w:val="32"/>
          <w:shd w:val="clear" w:fill="FFFFFF"/>
          <w:lang w:val="en-US" w:eastAsia="zh-CN" w:bidi="ar"/>
        </w:rPr>
        <w:t>二、部门整体支出管理及使用情况</w:t>
      </w:r>
    </w:p>
    <w:p w14:paraId="2D7AAAE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40" w:firstLineChars="200"/>
        <w:textAlignment w:val="auto"/>
        <w:rPr>
          <w:rFonts w:hint="eastAsia" w:ascii="楷体_GB2312" w:eastAsia="楷体_GB2312" w:cs="楷体_GB2312"/>
          <w:i w:val="0"/>
          <w:iCs w:val="0"/>
          <w:caps w:val="0"/>
          <w:color w:val="auto"/>
          <w:spacing w:val="0"/>
          <w:sz w:val="32"/>
          <w:szCs w:val="32"/>
          <w:shd w:val="clear" w:fill="FFFFFF"/>
        </w:rPr>
      </w:pPr>
      <w:r>
        <w:rPr>
          <w:rFonts w:hint="default" w:ascii="楷体_GB2312" w:eastAsia="楷体_GB2312" w:cs="楷体_GB2312"/>
          <w:i w:val="0"/>
          <w:iCs w:val="0"/>
          <w:caps w:val="0"/>
          <w:color w:val="auto"/>
          <w:spacing w:val="0"/>
          <w:sz w:val="32"/>
          <w:szCs w:val="32"/>
          <w:shd w:val="clear" w:fill="FFFFFF"/>
        </w:rPr>
        <w:t>（一）</w:t>
      </w:r>
      <w:r>
        <w:rPr>
          <w:rFonts w:hint="eastAsia" w:ascii="楷体_GB2312" w:eastAsia="楷体_GB2312" w:cs="楷体_GB2312"/>
          <w:i w:val="0"/>
          <w:iCs w:val="0"/>
          <w:caps w:val="0"/>
          <w:color w:val="auto"/>
          <w:spacing w:val="0"/>
          <w:sz w:val="32"/>
          <w:szCs w:val="32"/>
          <w:shd w:val="clear" w:fill="FFFFFF"/>
        </w:rPr>
        <w:t>预算执行、使用、管理总体情况。</w:t>
      </w:r>
    </w:p>
    <w:p w14:paraId="0138839B">
      <w:pPr>
        <w:widowControl/>
        <w:shd w:val="clear" w:color="auto" w:fill="FFFFFF"/>
        <w:spacing w:line="600" w:lineRule="atLeast"/>
        <w:ind w:firstLine="640"/>
        <w:rPr>
          <w:rFonts w:hint="eastAsia" w:ascii="仿宋" w:hAnsi="仿宋" w:eastAsia="仿宋" w:cs="仿宋"/>
          <w:i w:val="0"/>
          <w:iCs w:val="0"/>
          <w:caps w:val="0"/>
          <w:color w:val="auto"/>
          <w:spacing w:val="0"/>
          <w:kern w:val="0"/>
          <w:sz w:val="32"/>
          <w:szCs w:val="32"/>
          <w:shd w:val="clear" w:fill="FFFFFF"/>
          <w:lang w:val="en-US" w:eastAsia="zh-CN" w:bidi="ar"/>
        </w:rPr>
      </w:pPr>
      <w:r>
        <w:rPr>
          <w:rFonts w:hint="eastAsia" w:ascii="仿宋" w:hAnsi="仿宋" w:eastAsia="仿宋" w:cs="仿宋"/>
          <w:i w:val="0"/>
          <w:iCs w:val="0"/>
          <w:caps w:val="0"/>
          <w:color w:val="auto"/>
          <w:spacing w:val="0"/>
          <w:kern w:val="0"/>
          <w:sz w:val="32"/>
          <w:szCs w:val="32"/>
          <w:shd w:val="clear" w:fill="FFFFFF"/>
          <w:lang w:val="en-US" w:eastAsia="zh-CN" w:bidi="ar"/>
        </w:rPr>
        <w:t>依据《怀化市财政局关于批复下达2023年市直部门预算的通知》怀财预（2023）6号预算批复，我校2023年年初收入预算15736.90万元，其中，一般公共预算经费拨款13286.90万元，财政专户管理资金收入2450.00万元。年初支出预算15736.90万元，其中：基本支出2685.50万元（基本工资778.66万元、津贴补贴83.13万元、奖金 66.50万元、其他工资福利支出38.94万元、绩效工资500.14万元、机关事业单位基本养老保险缴费217.91万元、 职工基本医疗保险缴费108.95万元、商品和服务支出335.34万元、对个人和家庭补助5.94万元等）；项目支出13051.40万元，其中：德育教育服务管理费800.00万元、实训补贴100万元、日常开支经费800万元、核增绩效工资300万元、人才引进200万元、中职免学费467.80万元、课题经费200万元、怀化市楚怡中职学校改扩建项目9153.60万元、疫情防控资金30.00万元、筹建怀化工商职业技术学院500.00万元、改善办学条件500.00万元。</w:t>
      </w:r>
    </w:p>
    <w:p w14:paraId="35E25FEC">
      <w:pPr>
        <w:widowControl/>
        <w:shd w:val="clear" w:color="auto" w:fill="FFFFFF"/>
        <w:spacing w:line="600" w:lineRule="atLeast"/>
        <w:ind w:firstLine="640"/>
        <w:rPr>
          <w:rFonts w:hint="eastAsia" w:ascii="仿宋" w:hAnsi="仿宋" w:eastAsia="仿宋" w:cs="Times New Roman"/>
          <w:color w:val="auto"/>
          <w:spacing w:val="-2"/>
          <w:sz w:val="32"/>
          <w:szCs w:val="32"/>
          <w:highlight w:val="none"/>
        </w:rPr>
      </w:pPr>
      <w:r>
        <w:rPr>
          <w:rFonts w:hint="eastAsia" w:ascii="仿宋" w:hAnsi="仿宋" w:eastAsia="仿宋" w:cs="Times New Roman"/>
          <w:color w:val="auto"/>
          <w:spacing w:val="-2"/>
          <w:sz w:val="32"/>
          <w:szCs w:val="32"/>
          <w:highlight w:val="none"/>
        </w:rPr>
        <w:t>2</w:t>
      </w:r>
      <w:r>
        <w:rPr>
          <w:rFonts w:hint="eastAsia" w:ascii="仿宋" w:hAnsi="仿宋" w:eastAsia="仿宋" w:cs="Times New Roman"/>
          <w:color w:val="auto"/>
          <w:spacing w:val="-2"/>
          <w:sz w:val="32"/>
          <w:szCs w:val="32"/>
          <w:highlight w:val="none"/>
          <w:lang w:eastAsia="zh-CN"/>
        </w:rPr>
        <w:t>、</w:t>
      </w:r>
      <w:r>
        <w:rPr>
          <w:rFonts w:hint="eastAsia" w:ascii="仿宋" w:hAnsi="仿宋" w:eastAsia="仿宋" w:cs="Times New Roman"/>
          <w:color w:val="auto"/>
          <w:spacing w:val="-2"/>
          <w:sz w:val="32"/>
          <w:szCs w:val="32"/>
          <w:highlight w:val="none"/>
        </w:rPr>
        <w:t>202</w:t>
      </w:r>
      <w:r>
        <w:rPr>
          <w:rFonts w:hint="eastAsia" w:ascii="仿宋" w:hAnsi="仿宋" w:eastAsia="仿宋" w:cs="Times New Roman"/>
          <w:color w:val="auto"/>
          <w:spacing w:val="-2"/>
          <w:sz w:val="32"/>
          <w:szCs w:val="32"/>
          <w:highlight w:val="none"/>
          <w:lang w:val="en-US" w:eastAsia="zh-CN"/>
        </w:rPr>
        <w:t>3</w:t>
      </w:r>
      <w:r>
        <w:rPr>
          <w:rFonts w:hint="eastAsia" w:ascii="仿宋" w:hAnsi="仿宋" w:eastAsia="仿宋" w:cs="Times New Roman"/>
          <w:color w:val="auto"/>
          <w:spacing w:val="-2"/>
          <w:sz w:val="32"/>
          <w:szCs w:val="32"/>
          <w:highlight w:val="none"/>
        </w:rPr>
        <w:t>年部门决算情况</w:t>
      </w:r>
    </w:p>
    <w:p w14:paraId="4125DA6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32" w:firstLineChars="200"/>
        <w:textAlignment w:val="auto"/>
        <w:rPr>
          <w:rFonts w:hint="default" w:ascii="楷体_GB2312" w:eastAsia="楷体_GB2312" w:cs="楷体_GB2312"/>
          <w:i w:val="0"/>
          <w:iCs w:val="0"/>
          <w:caps w:val="0"/>
          <w:color w:val="auto"/>
          <w:spacing w:val="0"/>
          <w:sz w:val="32"/>
          <w:szCs w:val="32"/>
          <w:shd w:val="clear" w:fill="FFFFFF"/>
        </w:rPr>
      </w:pPr>
      <w:r>
        <w:rPr>
          <w:rFonts w:hint="eastAsia" w:ascii="仿宋" w:hAnsi="仿宋" w:eastAsia="仿宋" w:cs="Times New Roman"/>
          <w:color w:val="auto"/>
          <w:spacing w:val="-2"/>
          <w:sz w:val="32"/>
          <w:szCs w:val="32"/>
          <w:highlight w:val="none"/>
        </w:rPr>
        <w:t>202</w:t>
      </w:r>
      <w:r>
        <w:rPr>
          <w:rFonts w:hint="eastAsia" w:ascii="仿宋" w:hAnsi="仿宋" w:eastAsia="仿宋" w:cs="Times New Roman"/>
          <w:color w:val="auto"/>
          <w:spacing w:val="-2"/>
          <w:sz w:val="32"/>
          <w:szCs w:val="32"/>
          <w:highlight w:val="none"/>
          <w:lang w:val="en-US" w:eastAsia="zh-CN"/>
        </w:rPr>
        <w:t>3</w:t>
      </w:r>
      <w:r>
        <w:rPr>
          <w:rFonts w:hint="eastAsia" w:ascii="仿宋" w:hAnsi="仿宋" w:eastAsia="仿宋" w:cs="Times New Roman"/>
          <w:color w:val="auto"/>
          <w:spacing w:val="-2"/>
          <w:sz w:val="32"/>
          <w:szCs w:val="32"/>
          <w:highlight w:val="none"/>
        </w:rPr>
        <w:t>年度决算总收入</w:t>
      </w:r>
      <w:r>
        <w:rPr>
          <w:rFonts w:hint="eastAsia" w:ascii="仿宋" w:hAnsi="仿宋" w:eastAsia="仿宋" w:cs="Times New Roman"/>
          <w:color w:val="auto"/>
          <w:spacing w:val="-2"/>
          <w:sz w:val="32"/>
          <w:szCs w:val="32"/>
          <w:highlight w:val="none"/>
          <w:lang w:val="en-US" w:eastAsia="zh-CN"/>
        </w:rPr>
        <w:t>5686.48万元</w:t>
      </w:r>
      <w:r>
        <w:rPr>
          <w:rFonts w:hint="eastAsia" w:ascii="仿宋" w:hAnsi="仿宋" w:eastAsia="仿宋" w:cs="Times New Roman"/>
          <w:color w:val="auto"/>
          <w:spacing w:val="-2"/>
          <w:sz w:val="32"/>
          <w:szCs w:val="32"/>
          <w:highlight w:val="none"/>
          <w:lang w:eastAsia="zh-CN"/>
        </w:rPr>
        <w:t>。</w:t>
      </w:r>
      <w:r>
        <w:rPr>
          <w:rFonts w:hint="eastAsia" w:ascii="仿宋" w:hAnsi="仿宋" w:eastAsia="仿宋" w:cs="Times New Roman"/>
          <w:color w:val="auto"/>
          <w:spacing w:val="-2"/>
          <w:sz w:val="32"/>
          <w:szCs w:val="32"/>
          <w:highlight w:val="none"/>
        </w:rPr>
        <w:t>20</w:t>
      </w:r>
      <w:r>
        <w:rPr>
          <w:rFonts w:hint="eastAsia" w:ascii="仿宋" w:hAnsi="仿宋" w:eastAsia="仿宋" w:cs="Times New Roman"/>
          <w:color w:val="auto"/>
          <w:spacing w:val="-2"/>
          <w:sz w:val="32"/>
          <w:szCs w:val="32"/>
          <w:highlight w:val="none"/>
          <w:lang w:val="en-US" w:eastAsia="zh-CN"/>
        </w:rPr>
        <w:t>23</w:t>
      </w:r>
      <w:r>
        <w:rPr>
          <w:rFonts w:hint="eastAsia" w:ascii="仿宋" w:hAnsi="仿宋" w:eastAsia="仿宋" w:cs="Times New Roman"/>
          <w:color w:val="auto"/>
          <w:spacing w:val="-2"/>
          <w:sz w:val="32"/>
          <w:szCs w:val="32"/>
          <w:highlight w:val="none"/>
        </w:rPr>
        <w:t>年度决算总支出</w:t>
      </w:r>
      <w:r>
        <w:rPr>
          <w:rFonts w:hint="eastAsia" w:ascii="仿宋" w:hAnsi="仿宋" w:eastAsia="仿宋" w:cs="Times New Roman"/>
          <w:color w:val="auto"/>
          <w:spacing w:val="-2"/>
          <w:sz w:val="32"/>
          <w:szCs w:val="32"/>
          <w:highlight w:val="none"/>
          <w:lang w:val="en-US" w:eastAsia="zh-CN"/>
        </w:rPr>
        <w:t>5686.48</w:t>
      </w:r>
      <w:r>
        <w:rPr>
          <w:rFonts w:hint="eastAsia" w:ascii="仿宋" w:hAnsi="仿宋" w:eastAsia="仿宋" w:cs="Times New Roman"/>
          <w:color w:val="auto"/>
          <w:spacing w:val="-2"/>
          <w:sz w:val="32"/>
          <w:szCs w:val="32"/>
          <w:highlight w:val="none"/>
        </w:rPr>
        <w:t>万元，其中：基本支出</w:t>
      </w:r>
      <w:r>
        <w:rPr>
          <w:rFonts w:hint="eastAsia" w:ascii="仿宋" w:hAnsi="仿宋" w:eastAsia="仿宋" w:cs="Times New Roman"/>
          <w:color w:val="auto"/>
          <w:spacing w:val="-2"/>
          <w:sz w:val="32"/>
          <w:szCs w:val="32"/>
          <w:lang w:val="en-US" w:eastAsia="zh-CN"/>
        </w:rPr>
        <w:t>2549.03</w:t>
      </w:r>
      <w:r>
        <w:rPr>
          <w:rFonts w:hint="eastAsia" w:ascii="仿宋" w:hAnsi="仿宋" w:eastAsia="仿宋" w:cs="Times New Roman"/>
          <w:color w:val="auto"/>
          <w:spacing w:val="-2"/>
          <w:sz w:val="32"/>
          <w:szCs w:val="32"/>
          <w:highlight w:val="none"/>
        </w:rPr>
        <w:t>万元，占总支出的</w:t>
      </w:r>
      <w:r>
        <w:rPr>
          <w:rFonts w:hint="eastAsia" w:ascii="仿宋" w:hAnsi="仿宋" w:eastAsia="仿宋" w:cs="Times New Roman"/>
          <w:color w:val="auto"/>
          <w:spacing w:val="-2"/>
          <w:sz w:val="32"/>
          <w:szCs w:val="32"/>
          <w:highlight w:val="none"/>
          <w:lang w:val="en-US" w:eastAsia="zh-CN"/>
        </w:rPr>
        <w:t>44.83</w:t>
      </w:r>
      <w:r>
        <w:rPr>
          <w:rFonts w:hint="eastAsia" w:ascii="仿宋" w:hAnsi="仿宋" w:eastAsia="仿宋" w:cs="Times New Roman"/>
          <w:color w:val="auto"/>
          <w:spacing w:val="-2"/>
          <w:sz w:val="32"/>
          <w:szCs w:val="32"/>
          <w:highlight w:val="none"/>
        </w:rPr>
        <w:t>%；项目支出</w:t>
      </w:r>
      <w:r>
        <w:rPr>
          <w:rFonts w:hint="eastAsia" w:ascii="仿宋" w:hAnsi="仿宋" w:eastAsia="仿宋" w:cs="Times New Roman"/>
          <w:color w:val="auto"/>
          <w:spacing w:val="-2"/>
          <w:sz w:val="32"/>
          <w:szCs w:val="32"/>
          <w:lang w:val="en-US" w:eastAsia="zh-CN"/>
        </w:rPr>
        <w:t>3137.45</w:t>
      </w:r>
      <w:r>
        <w:rPr>
          <w:rFonts w:hint="eastAsia" w:ascii="仿宋" w:hAnsi="仿宋" w:eastAsia="仿宋" w:cs="Times New Roman"/>
          <w:color w:val="auto"/>
          <w:spacing w:val="-2"/>
          <w:sz w:val="32"/>
          <w:szCs w:val="32"/>
          <w:highlight w:val="none"/>
        </w:rPr>
        <w:t>万元，占总支出的</w:t>
      </w:r>
      <w:r>
        <w:rPr>
          <w:rFonts w:hint="eastAsia" w:ascii="仿宋" w:hAnsi="仿宋" w:eastAsia="仿宋" w:cs="Times New Roman"/>
          <w:color w:val="auto"/>
          <w:spacing w:val="-2"/>
          <w:sz w:val="32"/>
          <w:szCs w:val="32"/>
          <w:highlight w:val="none"/>
          <w:lang w:val="en-US" w:eastAsia="zh-CN"/>
        </w:rPr>
        <w:t>55.17</w:t>
      </w:r>
      <w:r>
        <w:rPr>
          <w:rFonts w:hint="eastAsia" w:ascii="仿宋" w:hAnsi="仿宋" w:eastAsia="仿宋" w:cs="Times New Roman"/>
          <w:color w:val="auto"/>
          <w:spacing w:val="-2"/>
          <w:sz w:val="32"/>
          <w:szCs w:val="32"/>
          <w:highlight w:val="none"/>
        </w:rPr>
        <w:t>%。20</w:t>
      </w:r>
      <w:r>
        <w:rPr>
          <w:rFonts w:hint="eastAsia" w:ascii="仿宋" w:hAnsi="仿宋" w:eastAsia="仿宋" w:cs="Times New Roman"/>
          <w:color w:val="auto"/>
          <w:spacing w:val="-2"/>
          <w:sz w:val="32"/>
          <w:szCs w:val="32"/>
          <w:highlight w:val="none"/>
          <w:lang w:val="en-US" w:eastAsia="zh-CN"/>
        </w:rPr>
        <w:t>23</w:t>
      </w:r>
      <w:r>
        <w:rPr>
          <w:rFonts w:hint="eastAsia" w:ascii="仿宋" w:hAnsi="仿宋" w:eastAsia="仿宋" w:cs="Times New Roman"/>
          <w:color w:val="auto"/>
          <w:spacing w:val="-2"/>
          <w:sz w:val="32"/>
          <w:szCs w:val="32"/>
          <w:highlight w:val="none"/>
        </w:rPr>
        <w:t>年年末</w:t>
      </w:r>
      <w:r>
        <w:rPr>
          <w:rFonts w:hint="eastAsia" w:ascii="仿宋" w:hAnsi="仿宋" w:eastAsia="仿宋" w:cs="Times New Roman"/>
          <w:color w:val="auto"/>
          <w:spacing w:val="-2"/>
          <w:sz w:val="32"/>
          <w:szCs w:val="32"/>
          <w:highlight w:val="none"/>
          <w:lang w:val="en-US" w:eastAsia="zh-CN"/>
        </w:rPr>
        <w:t>无</w:t>
      </w:r>
      <w:r>
        <w:rPr>
          <w:rFonts w:hint="eastAsia" w:ascii="仿宋" w:hAnsi="仿宋" w:eastAsia="仿宋" w:cs="Times New Roman"/>
          <w:color w:val="auto"/>
          <w:spacing w:val="-2"/>
          <w:sz w:val="32"/>
          <w:szCs w:val="32"/>
          <w:highlight w:val="none"/>
        </w:rPr>
        <w:t>结转和结余。</w:t>
      </w:r>
    </w:p>
    <w:p w14:paraId="09387DD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320" w:firstLineChars="100"/>
        <w:textAlignment w:val="auto"/>
        <w:rPr>
          <w:rFonts w:hint="default" w:ascii="楷体_GB2312" w:eastAsia="楷体_GB2312" w:cs="楷体_GB2312"/>
          <w:i w:val="0"/>
          <w:iCs w:val="0"/>
          <w:caps w:val="0"/>
          <w:color w:val="auto"/>
          <w:spacing w:val="0"/>
          <w:sz w:val="32"/>
          <w:szCs w:val="32"/>
        </w:rPr>
      </w:pPr>
      <w:r>
        <w:rPr>
          <w:rFonts w:hint="default" w:ascii="楷体_GB2312" w:eastAsia="楷体_GB2312" w:cs="楷体_GB2312"/>
          <w:i w:val="0"/>
          <w:iCs w:val="0"/>
          <w:caps w:val="0"/>
          <w:color w:val="auto"/>
          <w:spacing w:val="0"/>
          <w:sz w:val="32"/>
          <w:szCs w:val="32"/>
          <w:shd w:val="clear" w:fill="FFFFFF"/>
        </w:rPr>
        <w:t>（二）部门预算执行情况</w:t>
      </w:r>
    </w:p>
    <w:p w14:paraId="0061577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640" w:right="0" w:firstLine="0"/>
        <w:textAlignment w:val="auto"/>
        <w:rPr>
          <w:rFonts w:hint="default" w:ascii="仿宋_GB2312" w:eastAsia="仿宋_GB2312" w:cs="仿宋_GB2312"/>
          <w:i w:val="0"/>
          <w:iCs w:val="0"/>
          <w:caps w:val="0"/>
          <w:color w:val="auto"/>
          <w:spacing w:val="0"/>
          <w:sz w:val="32"/>
          <w:szCs w:val="32"/>
          <w:shd w:val="clear" w:fill="FFFFFF"/>
        </w:rPr>
      </w:pPr>
      <w:r>
        <w:rPr>
          <w:rFonts w:hint="default" w:ascii="仿宋_GB2312" w:eastAsia="仿宋_GB2312" w:cs="仿宋_GB2312"/>
          <w:i w:val="0"/>
          <w:iCs w:val="0"/>
          <w:caps w:val="0"/>
          <w:color w:val="auto"/>
          <w:spacing w:val="0"/>
          <w:sz w:val="32"/>
          <w:szCs w:val="32"/>
          <w:shd w:val="clear" w:fill="FFFFFF"/>
        </w:rPr>
        <w:t>1.基本支出情况</w:t>
      </w:r>
    </w:p>
    <w:p w14:paraId="44496B3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32" w:firstLineChars="200"/>
        <w:textAlignment w:val="auto"/>
        <w:rPr>
          <w:rFonts w:hint="default" w:ascii="仿宋" w:hAnsi="仿宋" w:eastAsia="仿宋" w:cs="Times New Roman"/>
          <w:color w:val="auto"/>
          <w:spacing w:val="-2"/>
          <w:sz w:val="32"/>
          <w:szCs w:val="32"/>
          <w:highlight w:val="none"/>
        </w:rPr>
      </w:pPr>
      <w:r>
        <w:rPr>
          <w:rFonts w:hint="eastAsia" w:ascii="仿宋" w:hAnsi="仿宋" w:eastAsia="仿宋" w:cs="Times New Roman"/>
          <w:color w:val="auto"/>
          <w:spacing w:val="-2"/>
          <w:sz w:val="32"/>
          <w:szCs w:val="32"/>
          <w:highlight w:val="none"/>
          <w:lang w:val="en-US" w:eastAsia="zh-CN"/>
        </w:rPr>
        <w:t>2023年决算</w:t>
      </w:r>
      <w:r>
        <w:rPr>
          <w:rFonts w:hint="eastAsia" w:ascii="仿宋" w:hAnsi="仿宋" w:eastAsia="仿宋" w:cs="Times New Roman"/>
          <w:color w:val="auto"/>
          <w:spacing w:val="-2"/>
          <w:sz w:val="32"/>
          <w:szCs w:val="32"/>
          <w:highlight w:val="none"/>
        </w:rPr>
        <w:t>基本支出</w:t>
      </w:r>
      <w:r>
        <w:rPr>
          <w:rFonts w:hint="eastAsia" w:ascii="仿宋" w:hAnsi="仿宋" w:eastAsia="仿宋" w:cs="Times New Roman"/>
          <w:color w:val="auto"/>
          <w:spacing w:val="-2"/>
          <w:sz w:val="32"/>
          <w:szCs w:val="32"/>
          <w:highlight w:val="none"/>
          <w:lang w:val="en-US" w:eastAsia="zh-CN"/>
        </w:rPr>
        <w:t>2549.03</w:t>
      </w:r>
      <w:r>
        <w:rPr>
          <w:rFonts w:hint="eastAsia" w:ascii="仿宋" w:hAnsi="仿宋" w:eastAsia="仿宋" w:cs="Times New Roman"/>
          <w:color w:val="auto"/>
          <w:spacing w:val="-2"/>
          <w:sz w:val="32"/>
          <w:szCs w:val="32"/>
          <w:highlight w:val="none"/>
        </w:rPr>
        <w:t>万元</w:t>
      </w:r>
      <w:r>
        <w:rPr>
          <w:rFonts w:hint="eastAsia" w:ascii="仿宋" w:hAnsi="仿宋" w:eastAsia="仿宋" w:cs="Times New Roman"/>
          <w:color w:val="auto"/>
          <w:spacing w:val="-2"/>
          <w:sz w:val="32"/>
          <w:szCs w:val="32"/>
          <w:highlight w:val="none"/>
          <w:lang w:eastAsia="zh-CN"/>
        </w:rPr>
        <w:t>，</w:t>
      </w:r>
      <w:r>
        <w:rPr>
          <w:rFonts w:hint="eastAsia" w:ascii="仿宋" w:hAnsi="仿宋" w:eastAsia="仿宋" w:cs="Times New Roman"/>
          <w:color w:val="auto"/>
          <w:spacing w:val="-2"/>
          <w:sz w:val="32"/>
          <w:szCs w:val="32"/>
          <w:highlight w:val="none"/>
          <w:lang w:val="en-US" w:eastAsia="zh-CN"/>
        </w:rPr>
        <w:t>其中：其他支出119.98万元、中等职业教育1772.52万元、机关事业单位基本养老保险缴费支出215.25万元、其他一般公共服务支出333.66万元、事业单位医疗107.62万元。较年初预算相比，减少136.47万元。</w:t>
      </w:r>
    </w:p>
    <w:p w14:paraId="34FF179D">
      <w:pPr>
        <w:pStyle w:val="6"/>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640" w:right="0" w:firstLine="0"/>
        <w:textAlignment w:val="auto"/>
        <w:rPr>
          <w:rFonts w:hint="default" w:ascii="仿宋_GB2312" w:eastAsia="仿宋_GB2312" w:cs="仿宋_GB2312"/>
          <w:i w:val="0"/>
          <w:iCs w:val="0"/>
          <w:caps w:val="0"/>
          <w:color w:val="auto"/>
          <w:spacing w:val="0"/>
          <w:sz w:val="32"/>
          <w:szCs w:val="32"/>
          <w:shd w:val="clear" w:fill="FFFFFF"/>
        </w:rPr>
      </w:pPr>
      <w:r>
        <w:rPr>
          <w:rFonts w:hint="default" w:ascii="仿宋_GB2312" w:eastAsia="仿宋_GB2312" w:cs="仿宋_GB2312"/>
          <w:i w:val="0"/>
          <w:iCs w:val="0"/>
          <w:caps w:val="0"/>
          <w:color w:val="auto"/>
          <w:spacing w:val="0"/>
          <w:sz w:val="32"/>
          <w:szCs w:val="32"/>
          <w:shd w:val="clear" w:fill="FFFFFF"/>
        </w:rPr>
        <w:t>项目支出情况</w:t>
      </w:r>
    </w:p>
    <w:p w14:paraId="3CD88D4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32" w:firstLineChars="200"/>
        <w:textAlignment w:val="auto"/>
        <w:rPr>
          <w:rFonts w:hint="eastAsia" w:ascii="仿宋" w:hAnsi="仿宋" w:eastAsia="仿宋" w:cs="Times New Roman"/>
          <w:color w:val="auto"/>
          <w:spacing w:val="-2"/>
          <w:sz w:val="32"/>
          <w:szCs w:val="32"/>
          <w:highlight w:val="none"/>
          <w:lang w:val="en-US" w:eastAsia="zh-CN"/>
        </w:rPr>
      </w:pPr>
      <w:r>
        <w:rPr>
          <w:rFonts w:hint="eastAsia" w:ascii="仿宋" w:hAnsi="仿宋" w:eastAsia="仿宋" w:cs="Times New Roman"/>
          <w:color w:val="auto"/>
          <w:spacing w:val="-2"/>
          <w:sz w:val="32"/>
          <w:szCs w:val="32"/>
          <w:highlight w:val="none"/>
          <w:lang w:val="en-US" w:eastAsia="zh-CN"/>
        </w:rPr>
        <w:t>2023年决算项目支出3137.45万元，较年初预算相比，减少9913.95万元，主要是怀化市楚怡中职学校改扩建项目、德育教育服务管理费、课题经费等。</w:t>
      </w:r>
    </w:p>
    <w:p w14:paraId="68B74F7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32" w:firstLineChars="200"/>
        <w:textAlignment w:val="auto"/>
        <w:rPr>
          <w:rFonts w:hint="eastAsia" w:ascii="仿宋" w:hAnsi="仿宋" w:eastAsia="仿宋" w:cs="Times New Roman"/>
          <w:color w:val="auto"/>
          <w:spacing w:val="-2"/>
          <w:sz w:val="32"/>
          <w:szCs w:val="32"/>
          <w:highlight w:val="none"/>
          <w:lang w:val="en-US" w:eastAsia="zh-CN"/>
        </w:rPr>
      </w:pPr>
    </w:p>
    <w:p w14:paraId="1F75C10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40" w:firstLineChars="200"/>
        <w:textAlignment w:val="auto"/>
        <w:rPr>
          <w:rFonts w:hint="eastAsia" w:ascii="仿宋" w:hAnsi="仿宋" w:eastAsia="仿宋" w:cs="Times New Roman"/>
          <w:color w:val="auto"/>
          <w:spacing w:val="-2"/>
          <w:sz w:val="32"/>
          <w:szCs w:val="32"/>
          <w:highlight w:val="none"/>
          <w:lang w:val="en-US" w:eastAsia="zh-CN"/>
        </w:rPr>
      </w:pPr>
      <w:r>
        <w:rPr>
          <w:rFonts w:hint="default" w:ascii="楷体_GB2312" w:eastAsia="楷体_GB2312" w:cs="楷体_GB2312"/>
          <w:i w:val="0"/>
          <w:iCs w:val="0"/>
          <w:caps w:val="0"/>
          <w:color w:val="auto"/>
          <w:spacing w:val="0"/>
          <w:sz w:val="32"/>
          <w:szCs w:val="32"/>
          <w:shd w:val="clear" w:fill="FFFFFF"/>
        </w:rPr>
        <w:t>（三）"三公"经费使用和管理情况</w:t>
      </w:r>
    </w:p>
    <w:p w14:paraId="7E9A486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32" w:firstLineChars="200"/>
        <w:textAlignment w:val="auto"/>
        <w:rPr>
          <w:rFonts w:hint="default" w:ascii="黑体" w:hAnsi="黑体" w:eastAsia="黑体" w:cs="黑体"/>
          <w:i w:val="0"/>
          <w:iCs w:val="0"/>
          <w:caps w:val="0"/>
          <w:color w:val="auto"/>
          <w:spacing w:val="0"/>
          <w:sz w:val="32"/>
          <w:szCs w:val="32"/>
          <w:shd w:val="clear" w:fill="FFFFFF"/>
          <w:lang w:val="en-US" w:eastAsia="zh-CN"/>
        </w:rPr>
      </w:pPr>
      <w:r>
        <w:rPr>
          <w:rFonts w:hint="eastAsia" w:ascii="仿宋" w:hAnsi="仿宋" w:eastAsia="仿宋" w:cs="仿宋"/>
          <w:color w:val="auto"/>
          <w:spacing w:val="-2"/>
          <w:sz w:val="32"/>
          <w:szCs w:val="32"/>
          <w:highlight w:val="none"/>
          <w:lang w:val="en-US" w:eastAsia="zh-CN"/>
        </w:rPr>
        <w:t>2023年“三公经费”支出0.00万元。上年“三公经费”支出0.28万元，主要是公务接待费0.28万元。较上年同期下降100%。</w:t>
      </w:r>
    </w:p>
    <w:p w14:paraId="1B1ACAB6">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rightChars="0"/>
        <w:textAlignment w:val="auto"/>
        <w:rPr>
          <w:rFonts w:hint="eastAsia" w:ascii="黑体" w:hAnsi="黑体" w:eastAsia="黑体" w:cs="黑体"/>
          <w:i w:val="0"/>
          <w:iCs w:val="0"/>
          <w:caps w:val="0"/>
          <w:color w:val="auto"/>
          <w:spacing w:val="0"/>
          <w:sz w:val="32"/>
          <w:szCs w:val="32"/>
          <w:shd w:val="clear" w:fill="FFFFFF"/>
        </w:rPr>
      </w:pPr>
      <w:r>
        <w:rPr>
          <w:rFonts w:hint="eastAsia" w:ascii="黑体" w:hAnsi="黑体" w:eastAsia="黑体" w:cs="黑体"/>
          <w:i w:val="0"/>
          <w:iCs w:val="0"/>
          <w:caps w:val="0"/>
          <w:color w:val="auto"/>
          <w:spacing w:val="0"/>
          <w:sz w:val="32"/>
          <w:szCs w:val="32"/>
          <w:shd w:val="clear" w:fill="FFFFFF"/>
          <w:lang w:val="en-US" w:eastAsia="zh-CN"/>
        </w:rPr>
        <w:t>三、</w:t>
      </w:r>
      <w:r>
        <w:rPr>
          <w:rFonts w:hint="eastAsia" w:ascii="黑体" w:hAnsi="黑体" w:eastAsia="黑体" w:cs="黑体"/>
          <w:i w:val="0"/>
          <w:iCs w:val="0"/>
          <w:caps w:val="0"/>
          <w:color w:val="auto"/>
          <w:spacing w:val="0"/>
          <w:sz w:val="32"/>
          <w:szCs w:val="32"/>
          <w:shd w:val="clear" w:fill="FFFFFF"/>
        </w:rPr>
        <w:t>政府性基金预算支出情况</w:t>
      </w:r>
    </w:p>
    <w:p w14:paraId="5913AEF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40" w:firstLineChars="200"/>
        <w:textAlignment w:val="auto"/>
        <w:rPr>
          <w:rFonts w:hint="eastAsia" w:ascii="黑体" w:hAnsi="黑体" w:eastAsia="黑体" w:cs="黑体"/>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lang w:val="en-US" w:eastAsia="zh-CN"/>
        </w:rPr>
        <w:t>2023年无</w:t>
      </w:r>
      <w:r>
        <w:rPr>
          <w:rFonts w:hint="eastAsia" w:ascii="仿宋" w:hAnsi="仿宋" w:eastAsia="仿宋" w:cs="仿宋"/>
          <w:i w:val="0"/>
          <w:iCs w:val="0"/>
          <w:caps w:val="0"/>
          <w:color w:val="auto"/>
          <w:spacing w:val="0"/>
          <w:sz w:val="32"/>
          <w:szCs w:val="32"/>
          <w:shd w:val="clear" w:fill="FFFFFF"/>
        </w:rPr>
        <w:t>政府性基金预算支出</w:t>
      </w:r>
      <w:r>
        <w:rPr>
          <w:rFonts w:hint="eastAsia" w:ascii="仿宋" w:hAnsi="仿宋" w:eastAsia="仿宋" w:cs="仿宋"/>
          <w:i w:val="0"/>
          <w:iCs w:val="0"/>
          <w:caps w:val="0"/>
          <w:color w:val="auto"/>
          <w:spacing w:val="0"/>
          <w:sz w:val="32"/>
          <w:szCs w:val="32"/>
          <w:shd w:val="clear" w:fill="FFFFFF"/>
          <w:lang w:val="en-US" w:eastAsia="zh-CN"/>
        </w:rPr>
        <w:t>。</w:t>
      </w:r>
    </w:p>
    <w:p w14:paraId="4C78189D">
      <w:pPr>
        <w:pStyle w:val="6"/>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textAlignment w:val="auto"/>
        <w:rPr>
          <w:rFonts w:hint="eastAsia" w:ascii="黑体" w:hAnsi="黑体" w:eastAsia="黑体" w:cs="黑体"/>
          <w:i w:val="0"/>
          <w:iCs w:val="0"/>
          <w:caps w:val="0"/>
          <w:color w:val="auto"/>
          <w:spacing w:val="0"/>
          <w:sz w:val="32"/>
          <w:szCs w:val="32"/>
          <w:shd w:val="clear" w:fill="FFFFFF"/>
        </w:rPr>
      </w:pPr>
      <w:r>
        <w:rPr>
          <w:rFonts w:hint="eastAsia" w:ascii="黑体" w:hAnsi="黑体" w:eastAsia="黑体" w:cs="黑体"/>
          <w:i w:val="0"/>
          <w:iCs w:val="0"/>
          <w:caps w:val="0"/>
          <w:color w:val="auto"/>
          <w:spacing w:val="0"/>
          <w:sz w:val="32"/>
          <w:szCs w:val="32"/>
          <w:shd w:val="clear" w:fill="FFFFFF"/>
        </w:rPr>
        <w:t>国有资本经营预算支出情况</w:t>
      </w:r>
    </w:p>
    <w:p w14:paraId="1F2BCD8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eastAsia" w:ascii="黑体" w:hAnsi="黑体" w:eastAsia="黑体" w:cs="黑体"/>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lang w:val="en-US" w:eastAsia="zh-CN"/>
        </w:rPr>
        <w:t>2023年无国有资本经营预算支出。</w:t>
      </w:r>
    </w:p>
    <w:p w14:paraId="592FCC9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textAlignment w:val="auto"/>
        <w:rPr>
          <w:rFonts w:hint="eastAsia" w:ascii="黑体" w:hAnsi="黑体" w:eastAsia="黑体" w:cs="黑体"/>
          <w:i w:val="0"/>
          <w:iCs w:val="0"/>
          <w:caps w:val="0"/>
          <w:color w:val="auto"/>
          <w:spacing w:val="0"/>
          <w:sz w:val="32"/>
          <w:szCs w:val="32"/>
          <w:shd w:val="clear" w:fill="FFFFFF"/>
        </w:rPr>
      </w:pPr>
      <w:r>
        <w:rPr>
          <w:rFonts w:hint="eastAsia" w:ascii="黑体" w:hAnsi="黑体" w:eastAsia="黑体" w:cs="黑体"/>
          <w:i w:val="0"/>
          <w:iCs w:val="0"/>
          <w:caps w:val="0"/>
          <w:color w:val="auto"/>
          <w:spacing w:val="0"/>
          <w:sz w:val="32"/>
          <w:szCs w:val="32"/>
          <w:shd w:val="clear" w:fill="FFFFFF"/>
        </w:rPr>
        <w:t>五、社会保险基金预算支出情况</w:t>
      </w:r>
    </w:p>
    <w:p w14:paraId="4F652C7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40" w:firstLineChars="200"/>
        <w:textAlignment w:val="auto"/>
        <w:rPr>
          <w:rFonts w:hint="eastAsia" w:ascii="黑体" w:hAnsi="黑体" w:eastAsia="黑体" w:cs="黑体"/>
          <w:i w:val="0"/>
          <w:iCs w:val="0"/>
          <w:caps w:val="0"/>
          <w:color w:val="auto"/>
          <w:spacing w:val="0"/>
          <w:sz w:val="32"/>
          <w:szCs w:val="32"/>
          <w:shd w:val="clear" w:fill="FFFFFF"/>
        </w:rPr>
      </w:pPr>
      <w:r>
        <w:rPr>
          <w:rFonts w:hint="eastAsia" w:ascii="仿宋" w:hAnsi="仿宋" w:eastAsia="仿宋" w:cs="仿宋"/>
          <w:i w:val="0"/>
          <w:iCs w:val="0"/>
          <w:caps w:val="0"/>
          <w:color w:val="auto"/>
          <w:spacing w:val="0"/>
          <w:sz w:val="32"/>
          <w:szCs w:val="32"/>
          <w:shd w:val="clear" w:fill="FFFFFF"/>
          <w:lang w:val="en-US" w:eastAsia="zh-CN"/>
        </w:rPr>
        <w:t>2023年无社会保险基金预算支出</w:t>
      </w:r>
    </w:p>
    <w:p w14:paraId="0FE2B95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sz w:val="32"/>
          <w:szCs w:val="32"/>
          <w:shd w:val="clear" w:fill="FFFFFF"/>
        </w:rPr>
        <w:t>六、部门整体支出绩效情况</w:t>
      </w:r>
    </w:p>
    <w:p w14:paraId="164C75B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40" w:firstLineChars="200"/>
        <w:textAlignment w:val="auto"/>
        <w:rPr>
          <w:rFonts w:hint="default" w:ascii="仿宋_GB2312" w:eastAsia="仿宋_GB2312" w:cs="仿宋_GB2312"/>
          <w:i w:val="0"/>
          <w:iCs w:val="0"/>
          <w:caps w:val="0"/>
          <w:color w:val="auto"/>
          <w:spacing w:val="0"/>
          <w:sz w:val="32"/>
          <w:szCs w:val="32"/>
          <w:shd w:val="clear" w:fill="FFFFFF"/>
        </w:rPr>
      </w:pPr>
      <w:r>
        <w:rPr>
          <w:rFonts w:hint="default" w:ascii="楷体_GB2312" w:eastAsia="楷体_GB2312" w:cs="楷体_GB2312"/>
          <w:i w:val="0"/>
          <w:iCs w:val="0"/>
          <w:caps w:val="0"/>
          <w:color w:val="auto"/>
          <w:spacing w:val="0"/>
          <w:sz w:val="32"/>
          <w:szCs w:val="32"/>
          <w:shd w:val="clear" w:fill="FFFFFF"/>
        </w:rPr>
        <w:t>（一）综合评价结论。</w:t>
      </w:r>
      <w:r>
        <w:rPr>
          <w:rFonts w:hint="default" w:ascii="仿宋_GB2312" w:eastAsia="仿宋_GB2312" w:cs="仿宋_GB2312"/>
          <w:i w:val="0"/>
          <w:iCs w:val="0"/>
          <w:caps w:val="0"/>
          <w:color w:val="auto"/>
          <w:spacing w:val="0"/>
          <w:sz w:val="32"/>
          <w:szCs w:val="32"/>
          <w:shd w:val="clear" w:fill="FFFFFF"/>
        </w:rPr>
        <w:t>反映自评得分及评价等级。</w:t>
      </w:r>
    </w:p>
    <w:p w14:paraId="6B3B0659">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32" w:firstLineChars="200"/>
        <w:textAlignment w:val="auto"/>
        <w:rPr>
          <w:rFonts w:hint="default" w:ascii="仿宋" w:hAnsi="仿宋" w:eastAsia="仿宋" w:cs="Times New Roman"/>
          <w:color w:val="auto"/>
          <w:spacing w:val="-2"/>
          <w:kern w:val="2"/>
          <w:sz w:val="32"/>
          <w:szCs w:val="32"/>
          <w:lang w:val="en-US" w:eastAsia="zh-CN" w:bidi="ar-SA"/>
        </w:rPr>
      </w:pPr>
      <w:r>
        <w:rPr>
          <w:rFonts w:hint="default" w:ascii="仿宋" w:hAnsi="仿宋" w:eastAsia="仿宋" w:cs="Times New Roman"/>
          <w:color w:val="auto"/>
          <w:spacing w:val="-2"/>
          <w:kern w:val="2"/>
          <w:sz w:val="32"/>
          <w:szCs w:val="32"/>
          <w:lang w:val="en-US" w:eastAsia="zh-CN" w:bidi="ar-SA"/>
        </w:rPr>
        <w:t>根据本次自评情况，</w:t>
      </w:r>
      <w:r>
        <w:rPr>
          <w:rFonts w:hint="eastAsia" w:ascii="仿宋" w:hAnsi="仿宋" w:eastAsia="仿宋" w:cs="Times New Roman"/>
          <w:color w:val="auto"/>
          <w:spacing w:val="-2"/>
          <w:kern w:val="2"/>
          <w:sz w:val="32"/>
          <w:szCs w:val="32"/>
          <w:highlight w:val="none"/>
          <w:lang w:val="en-US" w:eastAsia="zh-CN" w:bidi="ar-SA"/>
        </w:rPr>
        <w:t>我管理处</w:t>
      </w:r>
      <w:r>
        <w:rPr>
          <w:rFonts w:hint="default" w:ascii="仿宋" w:hAnsi="仿宋" w:eastAsia="仿宋" w:cs="Times New Roman"/>
          <w:color w:val="auto"/>
          <w:spacing w:val="-2"/>
          <w:kern w:val="2"/>
          <w:sz w:val="32"/>
          <w:szCs w:val="32"/>
          <w:highlight w:val="none"/>
          <w:lang w:val="en-US" w:eastAsia="zh-CN" w:bidi="ar-SA"/>
        </w:rPr>
        <w:t>整</w:t>
      </w:r>
      <w:r>
        <w:rPr>
          <w:rFonts w:hint="default" w:ascii="仿宋" w:hAnsi="仿宋" w:eastAsia="仿宋" w:cs="Times New Roman"/>
          <w:color w:val="auto"/>
          <w:spacing w:val="-2"/>
          <w:kern w:val="2"/>
          <w:sz w:val="32"/>
          <w:szCs w:val="32"/>
          <w:lang w:val="en-US" w:eastAsia="zh-CN" w:bidi="ar-SA"/>
        </w:rPr>
        <w:t>体支出绩效评价得分为</w:t>
      </w:r>
      <w:r>
        <w:rPr>
          <w:rFonts w:hint="eastAsia" w:ascii="仿宋" w:hAnsi="仿宋" w:eastAsia="仿宋" w:cs="Times New Roman"/>
          <w:color w:val="auto"/>
          <w:spacing w:val="-2"/>
          <w:kern w:val="2"/>
          <w:sz w:val="32"/>
          <w:szCs w:val="32"/>
          <w:lang w:val="en-US" w:eastAsia="zh-CN" w:bidi="ar-SA"/>
        </w:rPr>
        <w:t>98.10</w:t>
      </w:r>
      <w:r>
        <w:rPr>
          <w:rFonts w:hint="default" w:ascii="仿宋" w:hAnsi="仿宋" w:eastAsia="仿宋" w:cs="Times New Roman"/>
          <w:color w:val="auto"/>
          <w:spacing w:val="-2"/>
          <w:kern w:val="2"/>
          <w:sz w:val="32"/>
          <w:szCs w:val="32"/>
          <w:lang w:val="en-US" w:eastAsia="zh-CN" w:bidi="ar-SA"/>
        </w:rPr>
        <w:t>分，自评等级为优。</w:t>
      </w:r>
    </w:p>
    <w:p w14:paraId="0DCA149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default" w:ascii="仿宋" w:hAnsi="仿宋" w:eastAsia="仿宋" w:cs="Times New Roman"/>
          <w:color w:val="auto"/>
          <w:spacing w:val="-2"/>
          <w:kern w:val="2"/>
          <w:sz w:val="32"/>
          <w:szCs w:val="32"/>
          <w:lang w:val="en-US" w:eastAsia="zh-CN" w:bidi="ar-SA"/>
        </w:rPr>
      </w:pPr>
      <w:r>
        <w:rPr>
          <w:rFonts w:hint="default" w:ascii="楷体_GB2312" w:eastAsia="楷体_GB2312" w:cs="楷体_GB2312"/>
          <w:i w:val="0"/>
          <w:iCs w:val="0"/>
          <w:caps w:val="0"/>
          <w:color w:val="auto"/>
          <w:spacing w:val="0"/>
          <w:sz w:val="32"/>
          <w:szCs w:val="32"/>
          <w:shd w:val="clear" w:fill="FFFFFF"/>
        </w:rPr>
        <w:t>（二）评价指标分析（或综合评价情况）。</w:t>
      </w:r>
    </w:p>
    <w:p w14:paraId="5CA5466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default" w:ascii="黑体" w:hAnsi="黑体" w:eastAsia="仿宋_GB2312" w:cs="黑体"/>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根据怀财绩〔2024〕46号文件部门整体支出绩效评价指标体系，我校</w:t>
      </w:r>
      <w:r>
        <w:rPr>
          <w:rFonts w:hint="default" w:ascii="仿宋" w:hAnsi="仿宋" w:eastAsia="仿宋" w:cs="仿宋"/>
          <w:i w:val="0"/>
          <w:iCs w:val="0"/>
          <w:caps w:val="0"/>
          <w:color w:val="auto"/>
          <w:spacing w:val="0"/>
          <w:sz w:val="32"/>
          <w:szCs w:val="32"/>
          <w:shd w:val="clear" w:fill="FFFFFF"/>
          <w:lang w:val="en-US" w:eastAsia="zh-CN"/>
        </w:rPr>
        <w:t>从整体绩效目标设定、预算配置、预算执行、预算管理、资产管理、职责履行等方面综合分析</w:t>
      </w:r>
      <w:r>
        <w:rPr>
          <w:rFonts w:hint="eastAsia" w:ascii="仿宋" w:hAnsi="仿宋" w:eastAsia="仿宋" w:cs="仿宋"/>
          <w:i w:val="0"/>
          <w:iCs w:val="0"/>
          <w:caps w:val="0"/>
          <w:color w:val="auto"/>
          <w:spacing w:val="0"/>
          <w:sz w:val="32"/>
          <w:szCs w:val="32"/>
          <w:shd w:val="clear" w:fill="FFFFFF"/>
          <w:lang w:val="en-US" w:eastAsia="zh-CN"/>
        </w:rPr>
        <w:t>，具体如下：</w:t>
      </w:r>
    </w:p>
    <w:p w14:paraId="78AC532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default"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1.综合评价情况分析</w:t>
      </w:r>
    </w:p>
    <w:p w14:paraId="56C721FC">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default" w:ascii="黑体" w:hAnsi="黑体" w:eastAsia="黑体" w:cs="黑体"/>
          <w:b w:val="0"/>
          <w:bCs w:val="0"/>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（1）整体绩效目标设定</w:t>
      </w:r>
    </w:p>
    <w:p w14:paraId="42A49BA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我校2023年度整体绩效目标设定完成较好。主要体现在：1.创新思想政治教育教学模式。学校省级思想政治课教学团队以提升思政教师专业素养和教学水平为核心，以教育教研为先导，以课堂教学为主要阵地，围绕“立德树人”根本任务，深入学习贯彻习近平总书记关于思想政治课系列讲话精神，深刻把握“八个相统一”原则，推进“三全育人”，深化新时代中职学校思政课程建设与创新，在教学内容上突出创新、丰富思政课程资源，集中优势师资力量和资源开发建设两门省级精品课程。目前，曾星副教授主讲课程《习近平话语风格新时代魅力华章》入选湖南省干部教育培训“三百工程”精品课程，团队建设成1个省级重点课题，完成1个省级思政教学团队建设任务，1个省级在线优质精品课程《心理健康与职业生涯》完成结题，1个省级在线优质精品课程《哲学与人生》在建。2023年全国职业院校技能大赛德育与思想政治教育现场赛决赛——《哲学与人生》，邓耀东、瞿丽芝、石晓航与湖南交通职院刘悦丹教授合作在2023年全国职业院校技能大赛德育与思想政治教育教学能力比赛中获得国赛二等奖的突出成绩，</w:t>
      </w:r>
    </w:p>
    <w:p w14:paraId="0EB9A91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2.扎实推进教研教改走深走实。建设高水平专业群。学校申报成功湖南省双优中职校A档校，机电技术应用专业群和数字媒体技术应用专业群为省级优质专业群，充分发挥了学校重点建设专业牵头专业的优质专业群。思想政治教学团队、数字媒体技术应用专业教学团队、机电技术应用专业教学团队圆满完成省级专业教学团队建设任务，建设成果已上报湖南省教育厅。电子商务专业申报成功湖南省楚怡教师教学创新团队1个，申报成功湖南省楚怡名师工作室1个，申报成功湖南省楚怡名师1个，申报成功湖南省楚怡工坊1个。课程资源开发综合排名全省第一。省级中等职业教育精品在线开放课程我校立项11门课程，排名全省第一。机电技术应用专业群申报成功2023 年湖南省职业教育专业（群）教学资源库建设项目，为全省2023年度2个中职省级教学资源库之一。推进工学一体化改革。学校多媒体制作专业团队完成国家技能人才培养工学一体化课程设置方案和课程标准的建设任务，国家标准验收通过并正式公开发行。创建优质课题。学校申报成功5门省级课题。由谢先安第一主编的《计算机组装与维护（项目式微课版）》被列为中等职业学校工业和信息化精品系列教材。</w:t>
      </w:r>
    </w:p>
    <w:p w14:paraId="1871B5AB">
      <w:pPr>
        <w:snapToGrid w:val="0"/>
        <w:spacing w:line="520" w:lineRule="exact"/>
        <w:ind w:firstLine="640" w:firstLineChars="200"/>
        <w:rPr>
          <w:rFonts w:hint="eastAsia" w:ascii="仿宋" w:hAnsi="仿宋" w:eastAsia="仿宋" w:cs="仿宋"/>
          <w:i w:val="0"/>
          <w:iCs w:val="0"/>
          <w:caps w:val="0"/>
          <w:color w:val="auto"/>
          <w:spacing w:val="0"/>
          <w:kern w:val="0"/>
          <w:sz w:val="32"/>
          <w:szCs w:val="32"/>
          <w:shd w:val="clear" w:fill="FFFFFF"/>
          <w:lang w:val="en-US" w:eastAsia="zh-CN" w:bidi="ar"/>
        </w:rPr>
      </w:pPr>
      <w:r>
        <w:rPr>
          <w:rFonts w:hint="eastAsia" w:ascii="仿宋" w:hAnsi="仿宋" w:eastAsia="仿宋" w:cs="仿宋"/>
          <w:i w:val="0"/>
          <w:iCs w:val="0"/>
          <w:caps w:val="0"/>
          <w:color w:val="auto"/>
          <w:spacing w:val="0"/>
          <w:kern w:val="0"/>
          <w:sz w:val="32"/>
          <w:szCs w:val="32"/>
          <w:shd w:val="clear" w:fill="FFFFFF"/>
          <w:lang w:val="en-US" w:eastAsia="zh-CN" w:bidi="ar"/>
        </w:rPr>
        <w:t>3.以赛促教、以赛促改、以赛促学。承办多项赛事。学校承办了2023年“楚怡杯”湖南省职业院校技能竞赛中职组“智能家居安装与维护”竞赛；由市人社局、市总工会、团市委联合举办的怀化市首届“五溪工匠杯”职业技能大赛，我校承办CAD机械设计、数控铣、数控车、车身修理共4个赛项；2024年怀化市“珈汇杯”中等职业学校技能竞赛暨湖南省职业院校技能竞赛，我校承办现代加工技术赛项和汽车维修两个赛项。师生竞赛成绩突出。在全国职业院校技能大赛教学能力竞赛上，我校获得国赛一等奖2个，国赛二等奖1个，省赛一等奖4个，省赛二等奖3个，省赛三等奖2个。在2023年湖南省职业院校技能竞赛上，我校获得省赛一等奖1个，省赛二等奖4个，省赛三等奖4个。由市人社局、市总工会、团市委联合举办的怀化市首届“五溪工匠杯”职业技能大赛中，我校5位参赛选手，荣获一等奖2个、二等奖1个、三等奖2个；学校荣获特殊贡献奖；3名教师获优秀裁判员奖；1名教师获优秀工作者奖。经过各项赛事的打磨，切实提升了学生技能应用能力和教师教育教学水平。</w:t>
      </w:r>
    </w:p>
    <w:p w14:paraId="498F8A03">
      <w:pPr>
        <w:snapToGrid w:val="0"/>
        <w:spacing w:line="520" w:lineRule="exact"/>
        <w:ind w:firstLine="640" w:firstLineChars="200"/>
        <w:rPr>
          <w:rFonts w:hint="eastAsia" w:ascii="仿宋" w:hAnsi="仿宋" w:eastAsia="仿宋" w:cs="仿宋"/>
          <w:i w:val="0"/>
          <w:iCs w:val="0"/>
          <w:caps w:val="0"/>
          <w:color w:val="auto"/>
          <w:spacing w:val="0"/>
          <w:kern w:val="0"/>
          <w:sz w:val="32"/>
          <w:szCs w:val="32"/>
          <w:shd w:val="clear" w:fill="FFFFFF"/>
          <w:lang w:val="en-US" w:eastAsia="zh-CN" w:bidi="ar"/>
        </w:rPr>
      </w:pPr>
      <w:r>
        <w:rPr>
          <w:rFonts w:hint="eastAsia" w:ascii="仿宋" w:hAnsi="仿宋" w:eastAsia="仿宋" w:cs="仿宋"/>
          <w:i w:val="0"/>
          <w:iCs w:val="0"/>
          <w:caps w:val="0"/>
          <w:color w:val="auto"/>
          <w:spacing w:val="0"/>
          <w:kern w:val="0"/>
          <w:sz w:val="32"/>
          <w:szCs w:val="32"/>
          <w:shd w:val="clear" w:fill="FFFFFF"/>
          <w:lang w:val="en-US" w:eastAsia="zh-CN" w:bidi="ar"/>
        </w:rPr>
        <w:t>4.创新中职特色的基于云平台的信息化教学。基于云平台的教学资源开发与应用，提升教学效率，优化教学评价。学校已结题5门省级优质精品课程，在建12个在线优质精品课程，在建1个省级教学资源库，在建国家职业教育智慧教育平台资源试点校。大量的省级以上精品教学资源，优化的基于云平台的大数据创新评价极大地提升了教学效率，激发了学生的学习兴趣。</w:t>
      </w:r>
    </w:p>
    <w:p w14:paraId="5F3768A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textAlignment w:val="auto"/>
        <w:rPr>
          <w:rFonts w:hint="eastAsia" w:ascii="黑体" w:hAnsi="黑体" w:eastAsia="黑体" w:cs="黑体"/>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（2）预算配置</w:t>
      </w:r>
    </w:p>
    <w:p w14:paraId="0496528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32" w:firstLineChars="200"/>
        <w:textAlignment w:val="auto"/>
        <w:rPr>
          <w:rFonts w:hint="default" w:ascii="仿宋" w:hAnsi="仿宋" w:eastAsia="仿宋" w:cs="仿宋"/>
          <w:color w:val="auto"/>
          <w:spacing w:val="-2"/>
          <w:sz w:val="32"/>
          <w:szCs w:val="32"/>
          <w:lang w:val="en-US" w:eastAsia="zh-CN"/>
        </w:rPr>
      </w:pPr>
      <w:r>
        <w:rPr>
          <w:rFonts w:hint="eastAsia" w:ascii="宋体" w:hAnsi="宋体" w:eastAsia="宋体" w:cs="宋体"/>
          <w:color w:val="auto"/>
          <w:spacing w:val="-2"/>
          <w:sz w:val="32"/>
          <w:szCs w:val="32"/>
          <w:lang w:val="en-US" w:eastAsia="zh-CN"/>
        </w:rPr>
        <w:t>①</w:t>
      </w:r>
      <w:r>
        <w:rPr>
          <w:rFonts w:hint="eastAsia" w:ascii="仿宋" w:hAnsi="仿宋" w:eastAsia="仿宋" w:cs="仿宋"/>
          <w:color w:val="auto"/>
          <w:spacing w:val="-2"/>
          <w:sz w:val="32"/>
          <w:szCs w:val="32"/>
          <w:lang w:val="en-US" w:eastAsia="zh-CN"/>
        </w:rPr>
        <w:t>在职人员控制率</w:t>
      </w:r>
    </w:p>
    <w:p w14:paraId="625E37C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32" w:firstLineChars="200"/>
        <w:textAlignment w:val="auto"/>
        <w:rPr>
          <w:rFonts w:hint="default" w:ascii="黑体" w:hAnsi="黑体" w:eastAsia="仿宋" w:cs="黑体"/>
          <w:i w:val="0"/>
          <w:iCs w:val="0"/>
          <w:caps w:val="0"/>
          <w:color w:val="auto"/>
          <w:spacing w:val="0"/>
          <w:sz w:val="32"/>
          <w:szCs w:val="32"/>
          <w:shd w:val="clear" w:fill="FFFFFF"/>
          <w:lang w:val="en-US" w:eastAsia="zh-CN"/>
        </w:rPr>
      </w:pPr>
      <w:r>
        <w:rPr>
          <w:rFonts w:hint="eastAsia" w:ascii="仿宋" w:hAnsi="仿宋" w:eastAsia="仿宋" w:cs="仿宋"/>
          <w:color w:val="auto"/>
          <w:spacing w:val="-2"/>
          <w:sz w:val="32"/>
          <w:szCs w:val="32"/>
          <w:lang w:val="en-US" w:eastAsia="zh-CN"/>
        </w:rPr>
        <w:t>2023年我单位编制数194人，实际在职人员数187人，在职人员控制率为100%。严格执行了相关文件精神，所有在职人员都在编制内，无超编人员。</w:t>
      </w:r>
    </w:p>
    <w:p w14:paraId="37B47E2D">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32" w:firstLineChars="200"/>
        <w:textAlignment w:val="auto"/>
        <w:rPr>
          <w:rFonts w:hint="default" w:ascii="黑体" w:hAnsi="黑体" w:eastAsia="黑体" w:cs="黑体"/>
          <w:i w:val="0"/>
          <w:iCs w:val="0"/>
          <w:caps w:val="0"/>
          <w:color w:val="auto"/>
          <w:spacing w:val="0"/>
          <w:sz w:val="32"/>
          <w:szCs w:val="32"/>
          <w:shd w:val="clear" w:fill="FFFFFF"/>
          <w:lang w:val="en-US" w:eastAsia="zh-CN"/>
        </w:rPr>
      </w:pPr>
      <w:r>
        <w:rPr>
          <w:rFonts w:hint="eastAsia" w:ascii="宋体" w:hAnsi="宋体" w:eastAsia="宋体" w:cs="宋体"/>
          <w:color w:val="auto"/>
          <w:spacing w:val="-2"/>
          <w:sz w:val="32"/>
          <w:szCs w:val="32"/>
          <w:lang w:val="en-US" w:eastAsia="zh-CN"/>
        </w:rPr>
        <w:t>②</w:t>
      </w:r>
      <w:r>
        <w:rPr>
          <w:rFonts w:hint="eastAsia" w:ascii="仿宋" w:hAnsi="仿宋" w:eastAsia="仿宋" w:cs="仿宋"/>
          <w:color w:val="auto"/>
          <w:spacing w:val="-2"/>
          <w:sz w:val="32"/>
          <w:szCs w:val="32"/>
          <w:lang w:val="en-US" w:eastAsia="zh-CN"/>
        </w:rPr>
        <w:t>“三公经费”变动率</w:t>
      </w:r>
    </w:p>
    <w:p w14:paraId="7C92D95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32" w:firstLineChars="200"/>
        <w:textAlignment w:val="auto"/>
        <w:rPr>
          <w:rFonts w:hint="default" w:ascii="仿宋" w:hAnsi="仿宋" w:eastAsia="仿宋" w:cs="仿宋"/>
          <w:color w:val="auto"/>
          <w:spacing w:val="-2"/>
          <w:sz w:val="32"/>
          <w:szCs w:val="32"/>
          <w:lang w:val="en-US" w:eastAsia="zh-CN"/>
        </w:rPr>
      </w:pPr>
      <w:r>
        <w:rPr>
          <w:rFonts w:hint="eastAsia" w:ascii="仿宋" w:hAnsi="仿宋" w:eastAsia="仿宋" w:cs="仿宋"/>
          <w:color w:val="auto"/>
          <w:spacing w:val="-2"/>
          <w:sz w:val="32"/>
          <w:szCs w:val="32"/>
          <w:lang w:val="en-US" w:eastAsia="zh-CN"/>
        </w:rPr>
        <w:t>2023年“三公经费”预算数0.00万元，上年度“三公经费”预算数0.00万元，“三公经费”变动率0.00%。</w:t>
      </w:r>
    </w:p>
    <w:p w14:paraId="4A3B525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eastAsia" w:ascii="黑体" w:hAnsi="黑体" w:eastAsia="黑体" w:cs="黑体"/>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（3）预算执行</w:t>
      </w:r>
    </w:p>
    <w:p w14:paraId="28BF4B4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32" w:firstLineChars="200"/>
        <w:textAlignment w:val="auto"/>
        <w:rPr>
          <w:rFonts w:hint="eastAsia" w:ascii="仿宋" w:hAnsi="仿宋" w:eastAsia="仿宋" w:cs="仿宋"/>
          <w:color w:val="auto"/>
          <w:spacing w:val="-2"/>
          <w:sz w:val="32"/>
          <w:szCs w:val="32"/>
          <w:lang w:val="en-US" w:eastAsia="zh-CN"/>
        </w:rPr>
      </w:pPr>
      <w:r>
        <w:rPr>
          <w:rFonts w:hint="eastAsia" w:ascii="仿宋" w:hAnsi="仿宋" w:eastAsia="仿宋" w:cs="仿宋"/>
          <w:color w:val="auto"/>
          <w:spacing w:val="-2"/>
          <w:sz w:val="32"/>
          <w:szCs w:val="32"/>
          <w:lang w:val="en-US" w:eastAsia="zh-CN"/>
        </w:rPr>
        <w:t>2023年全年预算5686.48万元，年末结余0万元，预算完成率100%。</w:t>
      </w:r>
    </w:p>
    <w:p w14:paraId="4A2F8A6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eastAsia" w:ascii="黑体" w:hAnsi="黑体" w:eastAsia="黑体" w:cs="黑体"/>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（4）预算管理</w:t>
      </w:r>
    </w:p>
    <w:p w14:paraId="17C7B080">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val="0"/>
        <w:spacing w:before="0" w:beforeAutospacing="0" w:after="0" w:afterAutospacing="0" w:line="560" w:lineRule="exact"/>
        <w:ind w:right="0" w:firstLine="632" w:firstLineChars="200"/>
        <w:jc w:val="both"/>
        <w:textAlignment w:val="auto"/>
        <w:rPr>
          <w:rFonts w:hint="eastAsia" w:ascii="黑体" w:hAnsi="黑体" w:eastAsia="黑体" w:cs="黑体"/>
          <w:i w:val="0"/>
          <w:iCs w:val="0"/>
          <w:caps w:val="0"/>
          <w:color w:val="auto"/>
          <w:spacing w:val="0"/>
          <w:sz w:val="32"/>
          <w:szCs w:val="32"/>
          <w:shd w:val="clear" w:fill="FFFFFF"/>
          <w:lang w:val="en-US" w:eastAsia="zh-CN"/>
        </w:rPr>
      </w:pPr>
      <w:r>
        <w:rPr>
          <w:rFonts w:hint="eastAsia" w:ascii="仿宋" w:hAnsi="仿宋" w:eastAsia="仿宋" w:cs="仿宋"/>
          <w:color w:val="auto"/>
          <w:spacing w:val="-2"/>
          <w:sz w:val="32"/>
          <w:szCs w:val="32"/>
          <w:lang w:val="en-US" w:eastAsia="zh-CN"/>
        </w:rPr>
        <w:t>我校按照预算法要求进行预算管理。一是预算编制。采取零基预算法、定额预算法、固定预算法进行“一上”申报，在“一下”的基础上进行修改进行“二上”申报，形成以单位领导支持、财务部门牵头、其他部门密切配合的工作格局，保证预算编制质量；二是预算执行。部门预算经批复后，对财政下达指标数据核对，科学合理安排支出，专项项目资金做到专款专用。三是加强对预算执行过程的控制和结果的反馈，对预算执行差异及时分析成因和影响，并及时向领导和相关部门进行反馈，以采取措施纠正执行偏差，促进预算目标的全面完成。</w:t>
      </w:r>
    </w:p>
    <w:p w14:paraId="7BC0217B">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eastAsia" w:ascii="黑体" w:hAnsi="黑体" w:eastAsia="黑体" w:cs="黑体"/>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（5）资产管理</w:t>
      </w:r>
    </w:p>
    <w:p w14:paraId="63436721">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val="0"/>
        <w:topLinePunct w:val="0"/>
        <w:autoSpaceDE/>
        <w:autoSpaceDN/>
        <w:bidi w:val="0"/>
        <w:adjustRightInd/>
        <w:snapToGrid w:val="0"/>
        <w:spacing w:before="0" w:beforeAutospacing="0" w:after="0" w:afterAutospacing="0" w:line="560" w:lineRule="exact"/>
        <w:ind w:right="0" w:firstLine="632" w:firstLineChars="200"/>
        <w:jc w:val="both"/>
        <w:textAlignment w:val="auto"/>
        <w:rPr>
          <w:rFonts w:hint="eastAsia" w:ascii="仿宋" w:hAnsi="仿宋" w:eastAsia="仿宋" w:cs="仿宋"/>
          <w:color w:val="auto"/>
          <w:spacing w:val="-2"/>
          <w:sz w:val="32"/>
          <w:szCs w:val="32"/>
          <w:lang w:val="en-US" w:eastAsia="zh-CN"/>
        </w:rPr>
      </w:pPr>
      <w:r>
        <w:rPr>
          <w:rFonts w:hint="eastAsia" w:ascii="仿宋" w:hAnsi="仿宋" w:eastAsia="仿宋" w:cs="仿宋"/>
          <w:color w:val="auto"/>
          <w:spacing w:val="-2"/>
          <w:sz w:val="32"/>
          <w:szCs w:val="32"/>
          <w:lang w:val="en-US" w:eastAsia="zh-CN"/>
        </w:rPr>
        <w:t>2023年我单位资产管理包含货币资金、预付账款、其他应收往来款项、无形资产、在建工程、固定资产管理。其中：预付账款、其他应收款往来款项做到定期清理，对往来问题需查明原因分析再清理；固定资产管理中，我单位严格按照《行政事业性国有资产管理条例》和固定资产管理相关制度</w:t>
      </w:r>
      <w:r>
        <w:rPr>
          <w:rFonts w:hint="eastAsia" w:ascii="仿宋" w:hAnsi="仿宋" w:eastAsia="仿宋" w:cs="仿宋"/>
          <w:color w:val="auto"/>
          <w:spacing w:val="-2"/>
          <w:sz w:val="32"/>
          <w:szCs w:val="32"/>
        </w:rPr>
        <w:t>进行资产配置</w:t>
      </w:r>
      <w:r>
        <w:rPr>
          <w:rFonts w:hint="eastAsia" w:ascii="仿宋" w:hAnsi="仿宋" w:eastAsia="仿宋" w:cs="仿宋"/>
          <w:color w:val="auto"/>
          <w:spacing w:val="-2"/>
          <w:sz w:val="32"/>
          <w:szCs w:val="32"/>
          <w:lang w:val="en-US" w:eastAsia="zh-CN"/>
        </w:rPr>
        <w:t>、资产处置</w:t>
      </w:r>
      <w:r>
        <w:rPr>
          <w:rFonts w:hint="eastAsia" w:ascii="仿宋" w:hAnsi="仿宋" w:eastAsia="仿宋" w:cs="仿宋"/>
          <w:color w:val="auto"/>
          <w:spacing w:val="-2"/>
          <w:sz w:val="32"/>
          <w:szCs w:val="32"/>
        </w:rPr>
        <w:t>，对固定资产实施资产管理信息动态化监管，</w:t>
      </w:r>
      <w:r>
        <w:rPr>
          <w:rFonts w:hint="eastAsia" w:ascii="仿宋" w:hAnsi="仿宋" w:eastAsia="仿宋" w:cs="仿宋"/>
          <w:color w:val="auto"/>
          <w:spacing w:val="-2"/>
          <w:sz w:val="32"/>
          <w:szCs w:val="32"/>
          <w:lang w:val="en-US" w:eastAsia="zh-CN"/>
        </w:rPr>
        <w:t>及时在湖南省预算管理一体化系统资产管理模块中完成卡片入账、报废处置等相关工作，按月计提折旧，做好账账核对、账实核对工作。2023年末资产总额6904.52万元，其中：货币资金26.78万元、预付账款1158.00万元、其他应收款147.62万元、无形资产11.92万元、在建工程2138.98固定资产净值3,421.22万元。</w:t>
      </w:r>
    </w:p>
    <w:p w14:paraId="33BB6566">
      <w:pPr>
        <w:pStyle w:val="6"/>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32" w:firstLineChars="200"/>
        <w:textAlignment w:val="auto"/>
        <w:rPr>
          <w:rFonts w:hint="eastAsia" w:ascii="仿宋" w:hAnsi="仿宋" w:eastAsia="仿宋" w:cs="仿宋"/>
          <w:i w:val="0"/>
          <w:iCs w:val="0"/>
          <w:caps w:val="0"/>
          <w:color w:val="auto"/>
          <w:spacing w:val="0"/>
          <w:sz w:val="32"/>
          <w:szCs w:val="32"/>
          <w:shd w:val="clear" w:fill="FFFFFF"/>
          <w:lang w:val="en-US" w:eastAsia="zh-CN"/>
        </w:rPr>
      </w:pPr>
      <w:r>
        <w:rPr>
          <w:rFonts w:hint="default" w:ascii="仿宋" w:hAnsi="仿宋" w:eastAsia="仿宋" w:cs="仿宋"/>
          <w:color w:val="auto"/>
          <w:spacing w:val="-2"/>
          <w:sz w:val="32"/>
          <w:szCs w:val="32"/>
          <w:highlight w:val="none"/>
          <w:lang w:val="en-US" w:eastAsia="zh-CN"/>
        </w:rPr>
        <w:t>职责履行</w:t>
      </w:r>
      <w:r>
        <w:rPr>
          <w:rFonts w:hint="eastAsia" w:ascii="仿宋" w:hAnsi="仿宋" w:eastAsia="仿宋" w:cs="仿宋"/>
          <w:color w:val="auto"/>
          <w:spacing w:val="-2"/>
          <w:sz w:val="32"/>
          <w:szCs w:val="32"/>
          <w:highlight w:val="none"/>
          <w:lang w:val="en-US" w:eastAsia="zh-CN"/>
        </w:rPr>
        <w:t>方面</w:t>
      </w:r>
    </w:p>
    <w:p w14:paraId="4DB9892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32" w:firstLineChars="200"/>
        <w:textAlignment w:val="auto"/>
        <w:rPr>
          <w:rFonts w:hint="eastAsia" w:ascii="仿宋" w:hAnsi="仿宋" w:eastAsia="仿宋" w:cs="仿宋"/>
          <w:color w:val="auto"/>
          <w:spacing w:val="-2"/>
          <w:sz w:val="32"/>
          <w:szCs w:val="32"/>
          <w:highlight w:val="none"/>
          <w:lang w:val="en-US" w:eastAsia="zh-CN"/>
        </w:rPr>
      </w:pPr>
      <w:r>
        <w:rPr>
          <w:rFonts w:hint="eastAsia" w:ascii="仿宋" w:hAnsi="仿宋" w:eastAsia="仿宋" w:cs="仿宋"/>
          <w:color w:val="auto"/>
          <w:spacing w:val="-2"/>
          <w:sz w:val="32"/>
          <w:szCs w:val="32"/>
          <w:highlight w:val="none"/>
          <w:lang w:val="en-US" w:eastAsia="zh-CN"/>
        </w:rPr>
        <w:t>我校2023年严格落实各项工作，按照市局下达的任务及本单位的目标任务，积极推进了各项工作平稳、有序的开展。</w:t>
      </w:r>
    </w:p>
    <w:p w14:paraId="4A17ADD0">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default"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2.评价指标分析</w:t>
      </w:r>
    </w:p>
    <w:p w14:paraId="43D56327">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eastAsia" w:ascii="仿宋" w:hAnsi="仿宋" w:eastAsia="仿宋" w:cs="仿宋"/>
          <w:color w:val="auto"/>
          <w:spacing w:val="-2"/>
          <w:sz w:val="32"/>
          <w:szCs w:val="32"/>
          <w:lang w:val="en-US" w:eastAsia="zh-CN"/>
        </w:rPr>
      </w:pPr>
      <w:r>
        <w:rPr>
          <w:rFonts w:hint="eastAsia" w:ascii="仿宋" w:hAnsi="仿宋" w:eastAsia="仿宋" w:cs="仿宋"/>
          <w:i w:val="0"/>
          <w:iCs w:val="0"/>
          <w:caps w:val="0"/>
          <w:color w:val="auto"/>
          <w:spacing w:val="0"/>
          <w:sz w:val="32"/>
          <w:szCs w:val="32"/>
          <w:shd w:val="clear" w:fill="FFFFFF"/>
          <w:lang w:val="en-US" w:eastAsia="zh-CN"/>
        </w:rPr>
        <w:t>（1）产出指标分析</w:t>
      </w:r>
    </w:p>
    <w:p w14:paraId="266FB1E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32" w:firstLineChars="200"/>
        <w:textAlignment w:val="auto"/>
        <w:rPr>
          <w:rFonts w:hint="default" w:ascii="仿宋" w:hAnsi="仿宋" w:eastAsia="仿宋" w:cs="仿宋"/>
          <w:color w:val="auto"/>
          <w:spacing w:val="-2"/>
          <w:sz w:val="32"/>
          <w:szCs w:val="32"/>
          <w:highlight w:val="none"/>
          <w:lang w:val="en-US" w:eastAsia="zh-CN"/>
        </w:rPr>
      </w:pPr>
      <w:r>
        <w:rPr>
          <w:rFonts w:hint="eastAsia" w:ascii="仿宋" w:hAnsi="仿宋" w:eastAsia="仿宋" w:cs="仿宋"/>
          <w:color w:val="auto"/>
          <w:spacing w:val="-2"/>
          <w:sz w:val="32"/>
          <w:szCs w:val="32"/>
          <w:highlight w:val="none"/>
          <w:lang w:val="en-US" w:eastAsia="zh-CN"/>
        </w:rPr>
        <w:t>在教学内容上突出创新、丰富思政课程资源，集中优势师资力量和资源开发建设两门省级精品课程。目前，曾星副教授主讲课程《习近平话语风格新时代魅力华章》入选湖南省干部教育培训“三百工程”精品课程，团队建设成1个省级重点课题，完成1个省级思政教学团队建设任务，1个省级在线优质精品课程《心理健康与职业生涯》完成结题，1个省级在线优质精品课程《哲学与人生》在建；电子商务专业申报成功湖南省楚怡教师教学创新团队1个，申报成功湖南省楚怡名师工作室1个，申报成功湖南省楚怡名师1个，申报成功湖南省楚怡工坊1个。课程资源开发综合排名全省第一。省级中等职业教育精品在线开放课程我校立项11门课程，排名全省第一。机电技术应用专业群申报成功2023年湖南省职业教育专业（群）教学资源库建设项目，为全省2023年度2个中职省级教学资源库之一。推进工学一体化改革。学校多媒体制作专业团队完成国家技能人才培养工学一体化课程设置方案和课程标准的建设任务，国家标准验收通过并正式公开发行；由市人社局、市总工会、团市委联合举办的怀化市首届“五溪工匠杯”职业技能大赛，我校承办CAD机械设计、数控铣、数控车、车身修理共4个赛项；2024年怀化市“珈汇杯”中等职业学校技能竞赛暨湖南省职业院校技能竞赛，我校承办现代加工技术赛项和汽车维修两个赛项；基于云平台的教学资源开发与应用，提升教学效率，优化教学评价。学校已结题5门省级优质精品课程，在建12个在线优质精品课程，在建1个省级教学资源库，在建国家职业教育智慧教育平台资源试点校。</w:t>
      </w:r>
    </w:p>
    <w:p w14:paraId="5507B807">
      <w:pPr>
        <w:pStyle w:val="6"/>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效益指标分析</w:t>
      </w:r>
    </w:p>
    <w:p w14:paraId="5CFD0B2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32" w:firstLineChars="200"/>
        <w:textAlignment w:val="auto"/>
        <w:rPr>
          <w:rFonts w:hint="default" w:ascii="仿宋" w:hAnsi="仿宋" w:eastAsia="仿宋" w:cs="仿宋"/>
          <w:color w:val="auto"/>
          <w:spacing w:val="-2"/>
          <w:sz w:val="32"/>
          <w:szCs w:val="32"/>
          <w:highlight w:val="none"/>
          <w:lang w:val="en-US" w:eastAsia="zh-CN"/>
        </w:rPr>
      </w:pPr>
      <w:r>
        <w:rPr>
          <w:rFonts w:hint="eastAsia" w:ascii="仿宋" w:hAnsi="仿宋" w:eastAsia="仿宋" w:cs="仿宋"/>
          <w:color w:val="auto"/>
          <w:spacing w:val="-2"/>
          <w:sz w:val="32"/>
          <w:szCs w:val="32"/>
          <w:highlight w:val="none"/>
          <w:lang w:val="en-US" w:eastAsia="zh-CN"/>
        </w:rPr>
        <w:t>带动学校周边经济发展效果显著；给更多的学生提供更多的技能学习机会。</w:t>
      </w:r>
    </w:p>
    <w:p w14:paraId="63415423">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textAlignment w:val="auto"/>
        <w:rPr>
          <w:rFonts w:hint="default" w:ascii="仿宋" w:hAnsi="仿宋" w:eastAsia="仿宋" w:cs="仿宋"/>
          <w:color w:val="auto"/>
          <w:spacing w:val="-2"/>
          <w:sz w:val="32"/>
          <w:szCs w:val="32"/>
          <w:lang w:val="en-US" w:eastAsia="zh-CN"/>
        </w:rPr>
      </w:pPr>
      <w:r>
        <w:rPr>
          <w:rFonts w:hint="eastAsia" w:ascii="仿宋" w:hAnsi="仿宋" w:eastAsia="仿宋" w:cs="仿宋"/>
          <w:i w:val="0"/>
          <w:iCs w:val="0"/>
          <w:caps w:val="0"/>
          <w:color w:val="auto"/>
          <w:spacing w:val="0"/>
          <w:sz w:val="32"/>
          <w:szCs w:val="32"/>
          <w:shd w:val="clear" w:fill="FFFFFF"/>
          <w:lang w:val="en-US" w:eastAsia="zh-CN"/>
        </w:rPr>
        <w:t>（3）满意度指标分析</w:t>
      </w:r>
    </w:p>
    <w:p w14:paraId="76C1E6F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32" w:firstLineChars="200"/>
        <w:textAlignment w:val="auto"/>
        <w:rPr>
          <w:rFonts w:hint="default" w:ascii="仿宋" w:hAnsi="仿宋" w:eastAsia="仿宋" w:cs="仿宋"/>
          <w:color w:val="auto"/>
          <w:spacing w:val="-2"/>
          <w:sz w:val="32"/>
          <w:szCs w:val="32"/>
          <w:highlight w:val="none"/>
          <w:lang w:val="en-US" w:eastAsia="zh-CN"/>
        </w:rPr>
      </w:pPr>
      <w:r>
        <w:rPr>
          <w:rFonts w:hint="eastAsia" w:ascii="仿宋" w:hAnsi="仿宋" w:eastAsia="仿宋" w:cs="仿宋"/>
          <w:color w:val="auto"/>
          <w:spacing w:val="-2"/>
          <w:sz w:val="32"/>
          <w:szCs w:val="32"/>
          <w:lang w:val="en-US" w:eastAsia="zh-CN"/>
        </w:rPr>
        <w:t>学生、社会公众满意度度95%以上。</w:t>
      </w:r>
    </w:p>
    <w:p w14:paraId="04228813">
      <w:pPr>
        <w:pStyle w:val="6"/>
        <w:keepNext w:val="0"/>
        <w:keepLines w:val="0"/>
        <w:pageBreakBefore w:val="0"/>
        <w:widowControl/>
        <w:numPr>
          <w:ilvl w:val="0"/>
          <w:numId w:val="6"/>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eastAsia" w:ascii="黑体" w:hAnsi="黑体" w:eastAsia="黑体" w:cs="黑体"/>
          <w:i w:val="0"/>
          <w:iCs w:val="0"/>
          <w:caps w:val="0"/>
          <w:color w:val="auto"/>
          <w:spacing w:val="0"/>
          <w:sz w:val="32"/>
          <w:szCs w:val="32"/>
          <w:shd w:val="clear" w:fill="FFFFFF"/>
        </w:rPr>
      </w:pPr>
      <w:r>
        <w:rPr>
          <w:rFonts w:hint="eastAsia" w:ascii="黑体" w:hAnsi="黑体" w:eastAsia="黑体" w:cs="黑体"/>
          <w:i w:val="0"/>
          <w:iCs w:val="0"/>
          <w:caps w:val="0"/>
          <w:color w:val="auto"/>
          <w:spacing w:val="0"/>
          <w:sz w:val="32"/>
          <w:szCs w:val="32"/>
          <w:shd w:val="clear" w:fill="FFFFFF"/>
        </w:rPr>
        <w:t>存在的问题及原因分析</w:t>
      </w:r>
    </w:p>
    <w:p w14:paraId="7A6E2585">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32" w:firstLineChars="200"/>
        <w:textAlignment w:val="auto"/>
        <w:rPr>
          <w:rFonts w:hint="default" w:ascii="仿宋" w:hAnsi="仿宋" w:eastAsia="仿宋" w:cs="仿宋"/>
          <w:color w:val="auto"/>
          <w:spacing w:val="-2"/>
          <w:sz w:val="32"/>
          <w:szCs w:val="32"/>
          <w:highlight w:val="none"/>
          <w:lang w:val="en-US" w:eastAsia="zh-CN"/>
        </w:rPr>
      </w:pPr>
      <w:r>
        <w:rPr>
          <w:rFonts w:hint="eastAsia" w:ascii="仿宋" w:hAnsi="仿宋" w:eastAsia="仿宋" w:cs="仿宋"/>
          <w:color w:val="auto"/>
          <w:spacing w:val="-2"/>
          <w:sz w:val="32"/>
          <w:szCs w:val="32"/>
          <w:highlight w:val="none"/>
          <w:lang w:val="en-US" w:eastAsia="zh-CN"/>
        </w:rPr>
        <w:t>年初绩效评价指标体系不完善，绩效目标设立不够明确、细化和量化.</w:t>
      </w:r>
    </w:p>
    <w:p w14:paraId="65E19A2A">
      <w:pPr>
        <w:pStyle w:val="6"/>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0"/>
        <w:textAlignment w:val="auto"/>
        <w:rPr>
          <w:rFonts w:hint="eastAsia" w:ascii="黑体" w:hAnsi="黑体" w:eastAsia="黑体" w:cs="黑体"/>
          <w:i w:val="0"/>
          <w:iCs w:val="0"/>
          <w:caps w:val="0"/>
          <w:color w:val="auto"/>
          <w:spacing w:val="0"/>
          <w:sz w:val="32"/>
          <w:szCs w:val="32"/>
          <w:shd w:val="clear" w:fill="FFFFFF"/>
        </w:rPr>
      </w:pPr>
      <w:r>
        <w:rPr>
          <w:rFonts w:hint="eastAsia" w:ascii="黑体" w:hAnsi="黑体" w:eastAsia="黑体" w:cs="黑体"/>
          <w:i w:val="0"/>
          <w:iCs w:val="0"/>
          <w:caps w:val="0"/>
          <w:color w:val="auto"/>
          <w:spacing w:val="0"/>
          <w:sz w:val="32"/>
          <w:szCs w:val="32"/>
          <w:shd w:val="clear" w:fill="FFFFFF"/>
        </w:rPr>
        <w:t>下一步改进措施</w:t>
      </w:r>
    </w:p>
    <w:p w14:paraId="4A7B424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firstLine="632" w:firstLineChars="200"/>
        <w:textAlignment w:val="auto"/>
        <w:rPr>
          <w:rFonts w:hint="eastAsia" w:ascii="仿宋" w:hAnsi="仿宋" w:eastAsia="仿宋" w:cs="仿宋"/>
          <w:color w:val="auto"/>
          <w:spacing w:val="-2"/>
          <w:sz w:val="32"/>
          <w:szCs w:val="32"/>
          <w:highlight w:val="none"/>
          <w:lang w:val="en-US" w:eastAsia="zh-CN"/>
        </w:rPr>
      </w:pPr>
      <w:r>
        <w:rPr>
          <w:rFonts w:hint="eastAsia" w:ascii="仿宋" w:hAnsi="仿宋" w:eastAsia="仿宋" w:cs="仿宋"/>
          <w:color w:val="auto"/>
          <w:spacing w:val="-2"/>
          <w:sz w:val="32"/>
          <w:szCs w:val="32"/>
          <w:highlight w:val="none"/>
          <w:lang w:val="en-US" w:eastAsia="zh-CN"/>
        </w:rPr>
        <w:t>年初绩效目标设立要细化、量化；加强预算编制。确定编制标准，统一预决算口径，增强预算编制的科学性。</w:t>
      </w:r>
    </w:p>
    <w:p w14:paraId="5E4A491A">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right="0"/>
        <w:textAlignment w:val="auto"/>
        <w:rPr>
          <w:rFonts w:hint="eastAsia" w:ascii="黑体" w:hAnsi="黑体" w:eastAsia="黑体" w:cs="黑体"/>
          <w:i w:val="0"/>
          <w:iCs w:val="0"/>
          <w:caps w:val="0"/>
          <w:color w:val="auto"/>
          <w:spacing w:val="0"/>
          <w:sz w:val="32"/>
          <w:szCs w:val="32"/>
        </w:rPr>
      </w:pPr>
      <w:r>
        <w:rPr>
          <w:rFonts w:hint="eastAsia" w:ascii="黑体" w:hAnsi="黑体" w:eastAsia="黑体" w:cs="黑体"/>
          <w:i w:val="0"/>
          <w:iCs w:val="0"/>
          <w:caps w:val="0"/>
          <w:color w:val="auto"/>
          <w:spacing w:val="0"/>
          <w:sz w:val="32"/>
          <w:szCs w:val="32"/>
          <w:shd w:val="clear" w:fill="FFFFFF"/>
        </w:rPr>
        <w:t>九、其他需要说明的情况</w:t>
      </w:r>
    </w:p>
    <w:p w14:paraId="49FB4A3F">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32" w:firstLineChars="200"/>
        <w:textAlignment w:val="auto"/>
        <w:rPr>
          <w:rFonts w:hint="eastAsia" w:ascii="仿宋" w:hAnsi="仿宋" w:eastAsia="仿宋" w:cs="仿宋"/>
          <w:color w:val="auto"/>
          <w:spacing w:val="-2"/>
          <w:sz w:val="32"/>
          <w:szCs w:val="32"/>
          <w:highlight w:val="none"/>
          <w:lang w:val="en-US" w:eastAsia="zh-CN"/>
        </w:rPr>
      </w:pPr>
      <w:r>
        <w:rPr>
          <w:rFonts w:hint="eastAsia" w:ascii="仿宋" w:hAnsi="仿宋" w:eastAsia="仿宋" w:cs="仿宋"/>
          <w:color w:val="auto"/>
          <w:spacing w:val="-2"/>
          <w:sz w:val="32"/>
          <w:szCs w:val="32"/>
          <w:highlight w:val="none"/>
          <w:lang w:val="en-US" w:eastAsia="zh-CN"/>
        </w:rPr>
        <w:t>无其他需要说明的情况。</w:t>
      </w:r>
    </w:p>
    <w:p w14:paraId="796A9AD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32" w:firstLineChars="200"/>
        <w:textAlignment w:val="auto"/>
        <w:rPr>
          <w:rFonts w:hint="default" w:ascii="仿宋" w:hAnsi="仿宋" w:eastAsia="仿宋" w:cs="仿宋"/>
          <w:color w:val="auto"/>
          <w:spacing w:val="-2"/>
          <w:sz w:val="32"/>
          <w:szCs w:val="32"/>
          <w:highlight w:val="none"/>
          <w:lang w:val="en-US" w:eastAsia="zh-CN"/>
        </w:rPr>
      </w:pPr>
    </w:p>
    <w:p w14:paraId="67B00D1E">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640" w:firstLineChars="200"/>
        <w:jc w:val="left"/>
        <w:textAlignment w:val="auto"/>
        <w:rPr>
          <w:rFonts w:hint="default" w:ascii="仿宋_GB2312" w:eastAsia="仿宋_GB2312" w:cs="仿宋_GB2312"/>
          <w:i w:val="0"/>
          <w:iCs w:val="0"/>
          <w:caps w:val="0"/>
          <w:color w:val="auto"/>
          <w:spacing w:val="0"/>
          <w:sz w:val="32"/>
          <w:szCs w:val="32"/>
          <w:shd w:val="clear" w:fill="FFFFFF"/>
        </w:rPr>
      </w:pPr>
      <w:r>
        <w:rPr>
          <w:rFonts w:hint="default" w:ascii="仿宋_GB2312" w:eastAsia="仿宋_GB2312" w:cs="仿宋_GB2312"/>
          <w:i w:val="0"/>
          <w:iCs w:val="0"/>
          <w:caps w:val="0"/>
          <w:color w:val="auto"/>
          <w:spacing w:val="0"/>
          <w:sz w:val="32"/>
          <w:szCs w:val="32"/>
          <w:shd w:val="clear" w:fill="FFFFFF"/>
          <w:lang w:val="en-US" w:eastAsia="zh-CN"/>
        </w:rPr>
        <w:t>附件：</w:t>
      </w:r>
      <w:r>
        <w:rPr>
          <w:rFonts w:hint="eastAsia" w:ascii="仿宋_GB2312" w:eastAsia="仿宋_GB2312" w:cs="仿宋_GB2312"/>
          <w:i w:val="0"/>
          <w:iCs w:val="0"/>
          <w:caps w:val="0"/>
          <w:color w:val="auto"/>
          <w:spacing w:val="0"/>
          <w:sz w:val="32"/>
          <w:szCs w:val="32"/>
          <w:shd w:val="clear" w:fill="FFFFFF"/>
          <w:lang w:val="en-US" w:eastAsia="zh-CN"/>
        </w:rPr>
        <w:t>1.</w:t>
      </w:r>
      <w:r>
        <w:rPr>
          <w:rFonts w:hint="default" w:ascii="仿宋_GB2312" w:eastAsia="仿宋_GB2312" w:cs="仿宋_GB2312"/>
          <w:i w:val="0"/>
          <w:iCs w:val="0"/>
          <w:caps w:val="0"/>
          <w:color w:val="auto"/>
          <w:spacing w:val="0"/>
          <w:sz w:val="32"/>
          <w:szCs w:val="32"/>
          <w:shd w:val="clear" w:fill="FFFFFF"/>
        </w:rPr>
        <w:t>部门整体支出绩效评价基础数据表</w:t>
      </w:r>
      <w:r>
        <w:rPr>
          <w:rFonts w:hint="eastAsia" w:ascii="仿宋_GB2312" w:eastAsia="仿宋_GB2312" w:cs="仿宋_GB2312"/>
          <w:i w:val="0"/>
          <w:iCs w:val="0"/>
          <w:caps w:val="0"/>
          <w:color w:val="auto"/>
          <w:spacing w:val="0"/>
          <w:sz w:val="32"/>
          <w:szCs w:val="32"/>
          <w:shd w:val="clear" w:fill="FFFFFF"/>
          <w:lang w:val="en-US" w:eastAsia="zh-CN"/>
        </w:rPr>
        <w:t xml:space="preserve">  </w:t>
      </w:r>
    </w:p>
    <w:p w14:paraId="4986E9F6">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60" w:lineRule="exact"/>
        <w:ind w:right="0" w:firstLine="1600" w:firstLineChars="500"/>
        <w:jc w:val="left"/>
        <w:textAlignment w:val="auto"/>
        <w:rPr>
          <w:rFonts w:hint="default" w:ascii="仿宋_GB2312" w:eastAsia="仿宋_GB2312" w:cs="仿宋_GB2312"/>
          <w:i w:val="0"/>
          <w:iCs w:val="0"/>
          <w:caps w:val="0"/>
          <w:color w:val="auto"/>
          <w:spacing w:val="0"/>
          <w:sz w:val="32"/>
          <w:szCs w:val="32"/>
          <w:shd w:val="clear" w:fill="FFFFFF"/>
        </w:rPr>
      </w:pPr>
      <w:r>
        <w:rPr>
          <w:rFonts w:hint="eastAsia" w:ascii="仿宋_GB2312" w:eastAsia="仿宋_GB2312" w:cs="仿宋_GB2312"/>
          <w:i w:val="0"/>
          <w:iCs w:val="0"/>
          <w:caps w:val="0"/>
          <w:color w:val="auto"/>
          <w:spacing w:val="0"/>
          <w:sz w:val="32"/>
          <w:szCs w:val="32"/>
          <w:shd w:val="clear" w:fill="FFFFFF"/>
          <w:lang w:val="en-US" w:eastAsia="zh-CN"/>
        </w:rPr>
        <w:t>2.</w:t>
      </w:r>
      <w:r>
        <w:rPr>
          <w:rFonts w:hint="default" w:ascii="仿宋_GB2312" w:eastAsia="仿宋_GB2312" w:cs="仿宋_GB2312"/>
          <w:i w:val="0"/>
          <w:iCs w:val="0"/>
          <w:caps w:val="0"/>
          <w:color w:val="auto"/>
          <w:spacing w:val="0"/>
          <w:sz w:val="32"/>
          <w:szCs w:val="32"/>
          <w:shd w:val="clear" w:fill="FFFFFF"/>
        </w:rPr>
        <w:t>部门整体支出绩效自评表</w:t>
      </w:r>
    </w:p>
    <w:p w14:paraId="5B9EABD2">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val="0"/>
        <w:spacing w:before="0" w:beforeAutospacing="0" w:after="0" w:afterAutospacing="0" w:line="520" w:lineRule="exact"/>
        <w:ind w:left="0" w:right="0" w:firstLine="0"/>
        <w:textAlignment w:val="auto"/>
        <w:rPr>
          <w:rFonts w:hint="default" w:ascii="Times New Roman" w:hAnsi="Times New Roman" w:cs="Times New Roman"/>
          <w:i w:val="0"/>
          <w:iCs w:val="0"/>
          <w:caps w:val="0"/>
          <w:color w:val="auto"/>
          <w:spacing w:val="0"/>
          <w:sz w:val="24"/>
          <w:szCs w:val="24"/>
        </w:rPr>
      </w:pPr>
    </w:p>
    <w:p w14:paraId="0F876E24">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eastAsia" w:ascii="方正小标宋_GBK" w:hAnsi="方正小标宋_GBK" w:eastAsia="方正小标宋_GBK" w:cs="方正小标宋_GBK"/>
          <w:i w:val="0"/>
          <w:iCs w:val="0"/>
          <w:caps w:val="0"/>
          <w:color w:val="auto"/>
          <w:spacing w:val="0"/>
          <w:sz w:val="24"/>
          <w:szCs w:val="24"/>
          <w:shd w:val="clear" w:fill="FFFFFF"/>
          <w:lang w:val="en-US" w:eastAsia="zh-CN"/>
        </w:rPr>
      </w:pPr>
      <w:r>
        <w:rPr>
          <w:rFonts w:hint="eastAsia" w:ascii="方正小标宋_GBK" w:hAnsi="方正小标宋_GBK" w:eastAsia="方正小标宋_GBK" w:cs="方正小标宋_GBK"/>
          <w:i w:val="0"/>
          <w:iCs w:val="0"/>
          <w:caps w:val="0"/>
          <w:color w:val="auto"/>
          <w:spacing w:val="0"/>
          <w:sz w:val="24"/>
          <w:szCs w:val="24"/>
          <w:shd w:val="clear" w:fill="FFFFFF"/>
          <w:lang w:val="en-US" w:eastAsia="zh-CN"/>
        </w:rPr>
        <w:t xml:space="preserve">附件1-1 </w:t>
      </w:r>
    </w:p>
    <w:p w14:paraId="68C74183">
      <w:pPr>
        <w:keepNext w:val="0"/>
        <w:keepLines w:val="0"/>
        <w:pageBreakBefore w:val="0"/>
        <w:widowControl/>
        <w:tabs>
          <w:tab w:val="left" w:pos="3611"/>
          <w:tab w:val="left" w:pos="4791"/>
          <w:tab w:val="left" w:pos="5951"/>
          <w:tab w:val="left" w:pos="7071"/>
          <w:tab w:val="left" w:pos="8191"/>
          <w:tab w:val="left" w:pos="9311"/>
        </w:tabs>
        <w:kinsoku/>
        <w:wordWrap/>
        <w:overflowPunct/>
        <w:topLinePunct w:val="0"/>
        <w:autoSpaceDE/>
        <w:autoSpaceDN/>
        <w:bidi w:val="0"/>
        <w:adjustRightInd/>
        <w:snapToGrid/>
        <w:spacing w:line="480" w:lineRule="exact"/>
        <w:ind w:left="91"/>
        <w:jc w:val="center"/>
        <w:textAlignment w:val="auto"/>
        <w:rPr>
          <w:rFonts w:hint="eastAsia" w:ascii="方正小标宋简体" w:hAnsi="方正小标宋简体" w:eastAsia="方正小标宋简体" w:cs="方正小标宋简体"/>
          <w:color w:val="auto"/>
          <w:kern w:val="0"/>
          <w:sz w:val="36"/>
          <w:szCs w:val="36"/>
          <w:lang w:val="en-US" w:eastAsia="zh-CN"/>
        </w:rPr>
      </w:pPr>
      <w:r>
        <w:rPr>
          <w:rFonts w:hint="eastAsia" w:ascii="方正小标宋简体" w:hAnsi="方正小标宋简体" w:eastAsia="方正小标宋简体" w:cs="方正小标宋简体"/>
          <w:color w:val="auto"/>
          <w:kern w:val="0"/>
          <w:sz w:val="36"/>
          <w:szCs w:val="36"/>
          <w:lang w:val="en-US" w:eastAsia="zh-CN"/>
        </w:rPr>
        <w:t>部门整体支出绩效评价基础数据表</w:t>
      </w:r>
    </w:p>
    <w:p w14:paraId="2DA0E098">
      <w:pPr>
        <w:widowControl/>
        <w:tabs>
          <w:tab w:val="left" w:pos="3611"/>
          <w:tab w:val="left" w:pos="4791"/>
          <w:tab w:val="left" w:pos="5951"/>
          <w:tab w:val="left" w:pos="7071"/>
          <w:tab w:val="left" w:pos="8191"/>
          <w:tab w:val="left" w:pos="9311"/>
        </w:tabs>
        <w:ind w:left="91"/>
        <w:jc w:val="left"/>
        <w:rPr>
          <w:rFonts w:hint="default" w:eastAsia="仿宋_GB2312"/>
          <w:color w:val="auto"/>
          <w:kern w:val="0"/>
          <w:sz w:val="24"/>
          <w:lang w:val="en-US" w:eastAsia="zh-CN"/>
        </w:rPr>
      </w:pPr>
      <w:r>
        <w:rPr>
          <w:rFonts w:hint="eastAsia" w:eastAsia="仿宋_GB2312"/>
          <w:color w:val="auto"/>
          <w:kern w:val="0"/>
          <w:sz w:val="24"/>
          <w:lang w:val="en-US" w:eastAsia="zh-CN"/>
        </w:rPr>
        <w:t xml:space="preserve">填报单位：                                        </w:t>
      </w:r>
    </w:p>
    <w:tbl>
      <w:tblPr>
        <w:tblStyle w:val="8"/>
        <w:tblW w:w="94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54"/>
        <w:gridCol w:w="1189"/>
        <w:gridCol w:w="849"/>
        <w:gridCol w:w="1129"/>
        <w:gridCol w:w="1111"/>
        <w:gridCol w:w="969"/>
        <w:gridCol w:w="863"/>
      </w:tblGrid>
      <w:tr w14:paraId="2F31B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vMerge w:val="restart"/>
            <w:noWrap w:val="0"/>
            <w:vAlign w:val="center"/>
          </w:tcPr>
          <w:p w14:paraId="1A4C8F84">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财政供养人员情况</w:t>
            </w:r>
          </w:p>
        </w:tc>
        <w:tc>
          <w:tcPr>
            <w:tcW w:w="2038" w:type="dxa"/>
            <w:gridSpan w:val="2"/>
            <w:noWrap w:val="0"/>
            <w:vAlign w:val="center"/>
          </w:tcPr>
          <w:p w14:paraId="04E2F9AA">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编制数</w:t>
            </w:r>
          </w:p>
        </w:tc>
        <w:tc>
          <w:tcPr>
            <w:tcW w:w="2240" w:type="dxa"/>
            <w:gridSpan w:val="2"/>
            <w:noWrap w:val="0"/>
            <w:vAlign w:val="center"/>
          </w:tcPr>
          <w:p w14:paraId="490221CE">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20</w:t>
            </w:r>
            <w:r>
              <w:rPr>
                <w:rFonts w:hint="eastAsia" w:ascii="仿宋" w:hAnsi="仿宋" w:eastAsia="仿宋" w:cs="仿宋"/>
                <w:b w:val="0"/>
                <w:bCs w:val="0"/>
                <w:color w:val="auto"/>
                <w:kern w:val="0"/>
                <w:sz w:val="20"/>
                <w:szCs w:val="20"/>
                <w:lang w:val="en-US" w:eastAsia="zh-CN"/>
              </w:rPr>
              <w:t>23</w:t>
            </w:r>
            <w:r>
              <w:rPr>
                <w:rFonts w:hint="eastAsia" w:ascii="仿宋" w:hAnsi="仿宋" w:eastAsia="仿宋" w:cs="仿宋"/>
                <w:b w:val="0"/>
                <w:bCs w:val="0"/>
                <w:color w:val="auto"/>
                <w:kern w:val="0"/>
                <w:sz w:val="20"/>
                <w:szCs w:val="20"/>
              </w:rPr>
              <w:t>年实际在职人数</w:t>
            </w:r>
          </w:p>
        </w:tc>
        <w:tc>
          <w:tcPr>
            <w:tcW w:w="1832" w:type="dxa"/>
            <w:gridSpan w:val="2"/>
            <w:noWrap w:val="0"/>
            <w:vAlign w:val="center"/>
          </w:tcPr>
          <w:p w14:paraId="489E6047">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控制率</w:t>
            </w:r>
          </w:p>
        </w:tc>
      </w:tr>
      <w:tr w14:paraId="0F58A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3354" w:type="dxa"/>
            <w:vMerge w:val="continue"/>
            <w:noWrap w:val="0"/>
            <w:vAlign w:val="center"/>
          </w:tcPr>
          <w:p w14:paraId="081657BD">
            <w:pPr>
              <w:widowControl/>
              <w:jc w:val="left"/>
              <w:rPr>
                <w:rFonts w:hint="eastAsia" w:ascii="仿宋" w:hAnsi="仿宋" w:eastAsia="仿宋" w:cs="仿宋"/>
                <w:b w:val="0"/>
                <w:bCs w:val="0"/>
                <w:color w:val="auto"/>
                <w:kern w:val="0"/>
                <w:sz w:val="20"/>
                <w:szCs w:val="20"/>
              </w:rPr>
            </w:pPr>
          </w:p>
        </w:tc>
        <w:tc>
          <w:tcPr>
            <w:tcW w:w="2038" w:type="dxa"/>
            <w:gridSpan w:val="2"/>
            <w:noWrap w:val="0"/>
            <w:vAlign w:val="center"/>
          </w:tcPr>
          <w:p w14:paraId="422734E4">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rPr>
              <w:t>　</w:t>
            </w:r>
            <w:r>
              <w:rPr>
                <w:rFonts w:hint="eastAsia" w:ascii="仿宋" w:hAnsi="仿宋" w:eastAsia="仿宋" w:cs="仿宋"/>
                <w:b w:val="0"/>
                <w:bCs w:val="0"/>
                <w:color w:val="auto"/>
                <w:kern w:val="0"/>
                <w:sz w:val="20"/>
                <w:szCs w:val="20"/>
                <w:lang w:val="en-US" w:eastAsia="zh-CN"/>
              </w:rPr>
              <w:t>194</w:t>
            </w:r>
          </w:p>
        </w:tc>
        <w:tc>
          <w:tcPr>
            <w:tcW w:w="2240" w:type="dxa"/>
            <w:gridSpan w:val="2"/>
            <w:noWrap w:val="0"/>
            <w:vAlign w:val="center"/>
          </w:tcPr>
          <w:p w14:paraId="21C49570">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lang w:val="en-US" w:eastAsia="zh-CN"/>
              </w:rPr>
              <w:t>187</w:t>
            </w:r>
            <w:r>
              <w:rPr>
                <w:rFonts w:hint="eastAsia" w:ascii="仿宋" w:hAnsi="仿宋" w:eastAsia="仿宋" w:cs="仿宋"/>
                <w:b w:val="0"/>
                <w:bCs w:val="0"/>
                <w:color w:val="auto"/>
                <w:kern w:val="0"/>
                <w:sz w:val="20"/>
                <w:szCs w:val="20"/>
              </w:rPr>
              <w:t>　</w:t>
            </w:r>
          </w:p>
        </w:tc>
        <w:tc>
          <w:tcPr>
            <w:tcW w:w="1832" w:type="dxa"/>
            <w:gridSpan w:val="2"/>
            <w:noWrap w:val="0"/>
            <w:vAlign w:val="center"/>
          </w:tcPr>
          <w:p w14:paraId="255191DA">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rPr>
              <w:t>　</w:t>
            </w:r>
            <w:r>
              <w:rPr>
                <w:rFonts w:hint="eastAsia" w:ascii="仿宋" w:hAnsi="仿宋" w:eastAsia="仿宋" w:cs="仿宋"/>
                <w:b w:val="0"/>
                <w:bCs w:val="0"/>
                <w:color w:val="auto"/>
                <w:kern w:val="0"/>
                <w:sz w:val="20"/>
                <w:szCs w:val="20"/>
                <w:lang w:val="en-US" w:eastAsia="zh-CN"/>
              </w:rPr>
              <w:t>96.39%</w:t>
            </w:r>
          </w:p>
        </w:tc>
      </w:tr>
      <w:tr w14:paraId="61C287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3553516E">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经费控制情况</w:t>
            </w:r>
          </w:p>
        </w:tc>
        <w:tc>
          <w:tcPr>
            <w:tcW w:w="2038" w:type="dxa"/>
            <w:gridSpan w:val="2"/>
            <w:noWrap w:val="0"/>
            <w:vAlign w:val="center"/>
          </w:tcPr>
          <w:p w14:paraId="47F4D20C">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20</w:t>
            </w:r>
            <w:r>
              <w:rPr>
                <w:rFonts w:hint="eastAsia" w:ascii="仿宋" w:hAnsi="仿宋" w:eastAsia="仿宋" w:cs="仿宋"/>
                <w:b w:val="0"/>
                <w:bCs w:val="0"/>
                <w:color w:val="auto"/>
                <w:kern w:val="0"/>
                <w:sz w:val="20"/>
                <w:szCs w:val="20"/>
                <w:lang w:val="en-US" w:eastAsia="zh-CN"/>
              </w:rPr>
              <w:t>22</w:t>
            </w:r>
            <w:r>
              <w:rPr>
                <w:rFonts w:hint="eastAsia" w:ascii="仿宋" w:hAnsi="仿宋" w:eastAsia="仿宋" w:cs="仿宋"/>
                <w:b w:val="0"/>
                <w:bCs w:val="0"/>
                <w:color w:val="auto"/>
                <w:kern w:val="0"/>
                <w:sz w:val="20"/>
                <w:szCs w:val="20"/>
              </w:rPr>
              <w:t>年决算数</w:t>
            </w:r>
          </w:p>
        </w:tc>
        <w:tc>
          <w:tcPr>
            <w:tcW w:w="2240" w:type="dxa"/>
            <w:gridSpan w:val="2"/>
            <w:noWrap w:val="0"/>
            <w:vAlign w:val="center"/>
          </w:tcPr>
          <w:p w14:paraId="72395D49">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20</w:t>
            </w:r>
            <w:r>
              <w:rPr>
                <w:rFonts w:hint="eastAsia" w:ascii="仿宋" w:hAnsi="仿宋" w:eastAsia="仿宋" w:cs="仿宋"/>
                <w:b w:val="0"/>
                <w:bCs w:val="0"/>
                <w:color w:val="auto"/>
                <w:kern w:val="0"/>
                <w:sz w:val="20"/>
                <w:szCs w:val="20"/>
                <w:lang w:val="en-US" w:eastAsia="zh-CN"/>
              </w:rPr>
              <w:t>23</w:t>
            </w:r>
            <w:r>
              <w:rPr>
                <w:rFonts w:hint="eastAsia" w:ascii="仿宋" w:hAnsi="仿宋" w:eastAsia="仿宋" w:cs="仿宋"/>
                <w:b w:val="0"/>
                <w:bCs w:val="0"/>
                <w:color w:val="auto"/>
                <w:kern w:val="0"/>
                <w:sz w:val="20"/>
                <w:szCs w:val="20"/>
              </w:rPr>
              <w:t>年预算数</w:t>
            </w:r>
          </w:p>
        </w:tc>
        <w:tc>
          <w:tcPr>
            <w:tcW w:w="1832" w:type="dxa"/>
            <w:gridSpan w:val="2"/>
            <w:noWrap w:val="0"/>
            <w:vAlign w:val="center"/>
          </w:tcPr>
          <w:p w14:paraId="446E6B0B">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20</w:t>
            </w:r>
            <w:r>
              <w:rPr>
                <w:rFonts w:hint="eastAsia" w:ascii="仿宋" w:hAnsi="仿宋" w:eastAsia="仿宋" w:cs="仿宋"/>
                <w:b w:val="0"/>
                <w:bCs w:val="0"/>
                <w:color w:val="auto"/>
                <w:kern w:val="0"/>
                <w:sz w:val="20"/>
                <w:szCs w:val="20"/>
                <w:lang w:val="en-US" w:eastAsia="zh-CN"/>
              </w:rPr>
              <w:t>23</w:t>
            </w:r>
            <w:r>
              <w:rPr>
                <w:rFonts w:hint="eastAsia" w:ascii="仿宋" w:hAnsi="仿宋" w:eastAsia="仿宋" w:cs="仿宋"/>
                <w:b w:val="0"/>
                <w:bCs w:val="0"/>
                <w:color w:val="auto"/>
                <w:kern w:val="0"/>
                <w:sz w:val="20"/>
                <w:szCs w:val="20"/>
              </w:rPr>
              <w:t>年决算数</w:t>
            </w:r>
          </w:p>
        </w:tc>
      </w:tr>
      <w:tr w14:paraId="5D4FA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19C73182">
            <w:pPr>
              <w:widowControl/>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三公经费</w:t>
            </w:r>
          </w:p>
        </w:tc>
        <w:tc>
          <w:tcPr>
            <w:tcW w:w="2038" w:type="dxa"/>
            <w:gridSpan w:val="2"/>
            <w:noWrap w:val="0"/>
            <w:vAlign w:val="center"/>
          </w:tcPr>
          <w:p w14:paraId="62809371">
            <w:pPr>
              <w:widowControl/>
              <w:jc w:val="center"/>
              <w:rPr>
                <w:rFonts w:hint="eastAsia" w:ascii="仿宋" w:hAnsi="仿宋" w:eastAsia="仿宋" w:cs="仿宋"/>
                <w:b w:val="0"/>
                <w:bCs w:val="0"/>
                <w:color w:val="auto"/>
                <w:kern w:val="0"/>
                <w:sz w:val="20"/>
                <w:szCs w:val="20"/>
              </w:rPr>
            </w:pPr>
          </w:p>
        </w:tc>
        <w:tc>
          <w:tcPr>
            <w:tcW w:w="2240" w:type="dxa"/>
            <w:gridSpan w:val="2"/>
            <w:noWrap w:val="0"/>
            <w:vAlign w:val="center"/>
          </w:tcPr>
          <w:p w14:paraId="699ECC79">
            <w:pPr>
              <w:widowControl/>
              <w:jc w:val="center"/>
              <w:rPr>
                <w:rFonts w:hint="eastAsia" w:ascii="仿宋" w:hAnsi="仿宋" w:eastAsia="仿宋" w:cs="仿宋"/>
                <w:b w:val="0"/>
                <w:bCs w:val="0"/>
                <w:color w:val="auto"/>
                <w:kern w:val="0"/>
                <w:sz w:val="20"/>
                <w:szCs w:val="20"/>
              </w:rPr>
            </w:pPr>
          </w:p>
        </w:tc>
        <w:tc>
          <w:tcPr>
            <w:tcW w:w="1832" w:type="dxa"/>
            <w:gridSpan w:val="2"/>
            <w:noWrap w:val="0"/>
            <w:vAlign w:val="center"/>
          </w:tcPr>
          <w:p w14:paraId="08603914">
            <w:pPr>
              <w:widowControl/>
              <w:jc w:val="center"/>
              <w:rPr>
                <w:rFonts w:hint="eastAsia" w:ascii="仿宋" w:hAnsi="仿宋" w:eastAsia="仿宋" w:cs="仿宋"/>
                <w:b w:val="0"/>
                <w:bCs w:val="0"/>
                <w:color w:val="auto"/>
                <w:kern w:val="0"/>
                <w:sz w:val="20"/>
                <w:szCs w:val="20"/>
              </w:rPr>
            </w:pPr>
          </w:p>
        </w:tc>
      </w:tr>
      <w:tr w14:paraId="347E4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7D8AC85B">
            <w:pPr>
              <w:widowControl/>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 xml:space="preserve">   1、公务用车购置和维护经费</w:t>
            </w:r>
          </w:p>
        </w:tc>
        <w:tc>
          <w:tcPr>
            <w:tcW w:w="2038" w:type="dxa"/>
            <w:gridSpan w:val="2"/>
            <w:noWrap w:val="0"/>
            <w:vAlign w:val="center"/>
          </w:tcPr>
          <w:p w14:paraId="79AE892C">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lang w:val="en-US" w:eastAsia="zh-CN"/>
              </w:rPr>
              <w:t>0.28</w:t>
            </w:r>
          </w:p>
        </w:tc>
        <w:tc>
          <w:tcPr>
            <w:tcW w:w="2240" w:type="dxa"/>
            <w:gridSpan w:val="2"/>
            <w:noWrap w:val="0"/>
            <w:vAlign w:val="center"/>
          </w:tcPr>
          <w:p w14:paraId="3BCFC79D">
            <w:pPr>
              <w:widowControl/>
              <w:jc w:val="center"/>
              <w:rPr>
                <w:rFonts w:hint="eastAsia" w:ascii="仿宋" w:hAnsi="仿宋" w:eastAsia="仿宋" w:cs="仿宋"/>
                <w:b w:val="0"/>
                <w:bCs w:val="0"/>
                <w:color w:val="auto"/>
                <w:kern w:val="0"/>
                <w:sz w:val="20"/>
                <w:szCs w:val="20"/>
                <w:lang w:val="en-US" w:eastAsia="zh-CN" w:bidi="ar-SA"/>
              </w:rPr>
            </w:pPr>
          </w:p>
        </w:tc>
        <w:tc>
          <w:tcPr>
            <w:tcW w:w="1832" w:type="dxa"/>
            <w:gridSpan w:val="2"/>
            <w:noWrap w:val="0"/>
            <w:vAlign w:val="center"/>
          </w:tcPr>
          <w:p w14:paraId="42851143">
            <w:pPr>
              <w:widowControl/>
              <w:jc w:val="center"/>
              <w:rPr>
                <w:rFonts w:hint="eastAsia" w:ascii="仿宋" w:hAnsi="仿宋" w:eastAsia="仿宋" w:cs="仿宋"/>
                <w:b w:val="0"/>
                <w:bCs w:val="0"/>
                <w:color w:val="auto"/>
                <w:kern w:val="0"/>
                <w:sz w:val="20"/>
                <w:szCs w:val="20"/>
                <w:lang w:val="en-US" w:eastAsia="zh-CN" w:bidi="ar-SA"/>
              </w:rPr>
            </w:pPr>
          </w:p>
        </w:tc>
      </w:tr>
      <w:tr w14:paraId="18429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47B25EA8">
            <w:pPr>
              <w:widowControl/>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 xml:space="preserve">       其中：公车购置</w:t>
            </w:r>
          </w:p>
        </w:tc>
        <w:tc>
          <w:tcPr>
            <w:tcW w:w="2038" w:type="dxa"/>
            <w:gridSpan w:val="2"/>
            <w:noWrap w:val="0"/>
            <w:vAlign w:val="center"/>
          </w:tcPr>
          <w:p w14:paraId="47F6144D">
            <w:pPr>
              <w:widowControl/>
              <w:jc w:val="center"/>
              <w:rPr>
                <w:rFonts w:hint="eastAsia" w:ascii="仿宋" w:hAnsi="仿宋" w:eastAsia="仿宋" w:cs="仿宋"/>
                <w:b w:val="0"/>
                <w:bCs w:val="0"/>
                <w:color w:val="auto"/>
                <w:kern w:val="0"/>
                <w:sz w:val="20"/>
                <w:szCs w:val="20"/>
              </w:rPr>
            </w:pPr>
          </w:p>
        </w:tc>
        <w:tc>
          <w:tcPr>
            <w:tcW w:w="2240" w:type="dxa"/>
            <w:gridSpan w:val="2"/>
            <w:noWrap w:val="0"/>
            <w:vAlign w:val="center"/>
          </w:tcPr>
          <w:p w14:paraId="1A4D7344">
            <w:pPr>
              <w:widowControl/>
              <w:jc w:val="center"/>
              <w:rPr>
                <w:rFonts w:hint="default" w:ascii="仿宋" w:hAnsi="仿宋" w:eastAsia="仿宋" w:cs="仿宋"/>
                <w:b w:val="0"/>
                <w:bCs w:val="0"/>
                <w:color w:val="auto"/>
                <w:kern w:val="0"/>
                <w:sz w:val="20"/>
                <w:szCs w:val="20"/>
                <w:lang w:val="en-US" w:eastAsia="zh-CN"/>
              </w:rPr>
            </w:pPr>
          </w:p>
        </w:tc>
        <w:tc>
          <w:tcPr>
            <w:tcW w:w="1832" w:type="dxa"/>
            <w:gridSpan w:val="2"/>
            <w:noWrap w:val="0"/>
            <w:vAlign w:val="center"/>
          </w:tcPr>
          <w:p w14:paraId="1678CAE2">
            <w:pPr>
              <w:widowControl/>
              <w:jc w:val="center"/>
              <w:rPr>
                <w:rFonts w:hint="eastAsia" w:ascii="仿宋" w:hAnsi="仿宋" w:eastAsia="仿宋" w:cs="仿宋"/>
                <w:b w:val="0"/>
                <w:bCs w:val="0"/>
                <w:color w:val="auto"/>
                <w:kern w:val="0"/>
                <w:sz w:val="20"/>
                <w:szCs w:val="20"/>
              </w:rPr>
            </w:pPr>
          </w:p>
        </w:tc>
      </w:tr>
      <w:tr w14:paraId="490FD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3AFDDFD4">
            <w:pPr>
              <w:widowControl/>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 xml:space="preserve">             公车运行维护</w:t>
            </w:r>
          </w:p>
        </w:tc>
        <w:tc>
          <w:tcPr>
            <w:tcW w:w="2038" w:type="dxa"/>
            <w:gridSpan w:val="2"/>
            <w:noWrap w:val="0"/>
            <w:vAlign w:val="center"/>
          </w:tcPr>
          <w:p w14:paraId="47EA7DB0">
            <w:pPr>
              <w:widowControl/>
              <w:jc w:val="center"/>
              <w:rPr>
                <w:rFonts w:hint="eastAsia" w:ascii="仿宋" w:hAnsi="仿宋" w:eastAsia="仿宋" w:cs="仿宋"/>
                <w:b w:val="0"/>
                <w:bCs w:val="0"/>
                <w:color w:val="auto"/>
                <w:kern w:val="0"/>
                <w:sz w:val="20"/>
                <w:szCs w:val="20"/>
              </w:rPr>
            </w:pPr>
          </w:p>
        </w:tc>
        <w:tc>
          <w:tcPr>
            <w:tcW w:w="2240" w:type="dxa"/>
            <w:gridSpan w:val="2"/>
            <w:noWrap w:val="0"/>
            <w:vAlign w:val="center"/>
          </w:tcPr>
          <w:p w14:paraId="22D98582">
            <w:pPr>
              <w:widowControl/>
              <w:jc w:val="center"/>
              <w:rPr>
                <w:rFonts w:hint="default" w:ascii="仿宋" w:hAnsi="仿宋" w:eastAsia="仿宋" w:cs="仿宋"/>
                <w:b w:val="0"/>
                <w:bCs w:val="0"/>
                <w:color w:val="auto"/>
                <w:kern w:val="0"/>
                <w:sz w:val="20"/>
                <w:szCs w:val="20"/>
                <w:lang w:val="en-US" w:eastAsia="zh-CN"/>
              </w:rPr>
            </w:pPr>
          </w:p>
        </w:tc>
        <w:tc>
          <w:tcPr>
            <w:tcW w:w="1832" w:type="dxa"/>
            <w:gridSpan w:val="2"/>
            <w:noWrap w:val="0"/>
            <w:vAlign w:val="center"/>
          </w:tcPr>
          <w:p w14:paraId="58A68876">
            <w:pPr>
              <w:widowControl/>
              <w:jc w:val="center"/>
              <w:rPr>
                <w:rFonts w:hint="eastAsia" w:ascii="仿宋" w:hAnsi="仿宋" w:eastAsia="仿宋" w:cs="仿宋"/>
                <w:b w:val="0"/>
                <w:bCs w:val="0"/>
                <w:color w:val="auto"/>
                <w:kern w:val="0"/>
                <w:sz w:val="20"/>
                <w:szCs w:val="20"/>
              </w:rPr>
            </w:pPr>
          </w:p>
        </w:tc>
      </w:tr>
      <w:tr w14:paraId="656B6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7D9B81F2">
            <w:pPr>
              <w:widowControl/>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 xml:space="preserve">   2、出国经费</w:t>
            </w:r>
          </w:p>
        </w:tc>
        <w:tc>
          <w:tcPr>
            <w:tcW w:w="2038" w:type="dxa"/>
            <w:gridSpan w:val="2"/>
            <w:noWrap w:val="0"/>
            <w:vAlign w:val="center"/>
          </w:tcPr>
          <w:p w14:paraId="0368DBBE">
            <w:pPr>
              <w:widowControl/>
              <w:jc w:val="center"/>
              <w:rPr>
                <w:rFonts w:hint="eastAsia" w:ascii="仿宋" w:hAnsi="仿宋" w:eastAsia="仿宋" w:cs="仿宋"/>
                <w:b w:val="0"/>
                <w:bCs w:val="0"/>
                <w:color w:val="auto"/>
                <w:kern w:val="0"/>
                <w:sz w:val="20"/>
                <w:szCs w:val="20"/>
              </w:rPr>
            </w:pPr>
          </w:p>
        </w:tc>
        <w:tc>
          <w:tcPr>
            <w:tcW w:w="2240" w:type="dxa"/>
            <w:gridSpan w:val="2"/>
            <w:noWrap w:val="0"/>
            <w:vAlign w:val="center"/>
          </w:tcPr>
          <w:p w14:paraId="1D58590B">
            <w:pPr>
              <w:widowControl/>
              <w:jc w:val="center"/>
              <w:rPr>
                <w:rFonts w:hint="eastAsia" w:ascii="仿宋" w:hAnsi="仿宋" w:eastAsia="仿宋" w:cs="仿宋"/>
                <w:b w:val="0"/>
                <w:bCs w:val="0"/>
                <w:color w:val="auto"/>
                <w:kern w:val="0"/>
                <w:sz w:val="20"/>
                <w:szCs w:val="20"/>
                <w:lang w:val="en-US" w:eastAsia="zh-CN" w:bidi="ar-SA"/>
              </w:rPr>
            </w:pPr>
          </w:p>
        </w:tc>
        <w:tc>
          <w:tcPr>
            <w:tcW w:w="1832" w:type="dxa"/>
            <w:gridSpan w:val="2"/>
            <w:noWrap w:val="0"/>
            <w:vAlign w:val="center"/>
          </w:tcPr>
          <w:p w14:paraId="1AD6D646">
            <w:pPr>
              <w:widowControl/>
              <w:jc w:val="center"/>
              <w:rPr>
                <w:rFonts w:hint="eastAsia" w:ascii="仿宋" w:hAnsi="仿宋" w:eastAsia="仿宋" w:cs="仿宋"/>
                <w:b w:val="0"/>
                <w:bCs w:val="0"/>
                <w:color w:val="auto"/>
                <w:kern w:val="0"/>
                <w:sz w:val="20"/>
                <w:szCs w:val="20"/>
                <w:lang w:val="en-US" w:eastAsia="zh-CN" w:bidi="ar-SA"/>
              </w:rPr>
            </w:pPr>
          </w:p>
        </w:tc>
      </w:tr>
      <w:tr w14:paraId="4EBBB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545B2367">
            <w:pPr>
              <w:widowControl/>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 xml:space="preserve">   3、公务接待</w:t>
            </w:r>
          </w:p>
        </w:tc>
        <w:tc>
          <w:tcPr>
            <w:tcW w:w="2038" w:type="dxa"/>
            <w:gridSpan w:val="2"/>
            <w:noWrap w:val="0"/>
            <w:vAlign w:val="center"/>
          </w:tcPr>
          <w:p w14:paraId="2FEF42A0">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lang w:val="en-US" w:eastAsia="zh-CN"/>
              </w:rPr>
              <w:t>0.28</w:t>
            </w:r>
          </w:p>
        </w:tc>
        <w:tc>
          <w:tcPr>
            <w:tcW w:w="2240" w:type="dxa"/>
            <w:gridSpan w:val="2"/>
            <w:noWrap w:val="0"/>
            <w:vAlign w:val="center"/>
          </w:tcPr>
          <w:p w14:paraId="04583A24">
            <w:pPr>
              <w:widowControl/>
              <w:jc w:val="center"/>
              <w:rPr>
                <w:rFonts w:hint="eastAsia" w:ascii="仿宋" w:hAnsi="仿宋" w:eastAsia="仿宋" w:cs="仿宋"/>
                <w:b w:val="0"/>
                <w:bCs w:val="0"/>
                <w:color w:val="auto"/>
                <w:kern w:val="0"/>
                <w:sz w:val="20"/>
                <w:szCs w:val="20"/>
                <w:lang w:val="en-US" w:eastAsia="zh-CN" w:bidi="ar-SA"/>
              </w:rPr>
            </w:pPr>
          </w:p>
        </w:tc>
        <w:tc>
          <w:tcPr>
            <w:tcW w:w="1832" w:type="dxa"/>
            <w:gridSpan w:val="2"/>
            <w:noWrap w:val="0"/>
            <w:vAlign w:val="center"/>
          </w:tcPr>
          <w:p w14:paraId="5CB41151">
            <w:pPr>
              <w:widowControl/>
              <w:jc w:val="center"/>
              <w:rPr>
                <w:rFonts w:hint="eastAsia" w:ascii="仿宋" w:hAnsi="仿宋" w:eastAsia="仿宋" w:cs="仿宋"/>
                <w:b w:val="0"/>
                <w:bCs w:val="0"/>
                <w:color w:val="auto"/>
                <w:kern w:val="0"/>
                <w:sz w:val="20"/>
                <w:szCs w:val="20"/>
                <w:lang w:val="en-US" w:eastAsia="zh-CN" w:bidi="ar-SA"/>
              </w:rPr>
            </w:pPr>
          </w:p>
        </w:tc>
      </w:tr>
      <w:tr w14:paraId="625D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2A92A2A8">
            <w:pPr>
              <w:widowControl/>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项目支出：</w:t>
            </w:r>
          </w:p>
        </w:tc>
        <w:tc>
          <w:tcPr>
            <w:tcW w:w="2038" w:type="dxa"/>
            <w:gridSpan w:val="2"/>
            <w:noWrap w:val="0"/>
            <w:vAlign w:val="center"/>
          </w:tcPr>
          <w:p w14:paraId="2B107FE8">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lang w:val="en-US" w:eastAsia="zh-CN"/>
              </w:rPr>
              <w:t>817.70</w:t>
            </w:r>
          </w:p>
        </w:tc>
        <w:tc>
          <w:tcPr>
            <w:tcW w:w="2240" w:type="dxa"/>
            <w:gridSpan w:val="2"/>
            <w:noWrap w:val="0"/>
            <w:vAlign w:val="center"/>
          </w:tcPr>
          <w:p w14:paraId="083FDF33">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lang w:val="en-US" w:eastAsia="zh-CN"/>
              </w:rPr>
              <w:t>13051.40</w:t>
            </w:r>
          </w:p>
        </w:tc>
        <w:tc>
          <w:tcPr>
            <w:tcW w:w="1832" w:type="dxa"/>
            <w:gridSpan w:val="2"/>
            <w:noWrap w:val="0"/>
            <w:vAlign w:val="center"/>
          </w:tcPr>
          <w:p w14:paraId="403E3D42">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lang w:val="en-US" w:eastAsia="zh-CN"/>
              </w:rPr>
              <w:t>3137.45</w:t>
            </w:r>
          </w:p>
        </w:tc>
      </w:tr>
      <w:tr w14:paraId="478E2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3DC32B39">
            <w:pPr>
              <w:widowControl/>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 xml:space="preserve">    1、业务工作经费</w:t>
            </w:r>
          </w:p>
        </w:tc>
        <w:tc>
          <w:tcPr>
            <w:tcW w:w="2038" w:type="dxa"/>
            <w:gridSpan w:val="2"/>
            <w:noWrap w:val="0"/>
            <w:vAlign w:val="center"/>
          </w:tcPr>
          <w:p w14:paraId="569FEC2D">
            <w:pPr>
              <w:widowControl/>
              <w:jc w:val="center"/>
              <w:rPr>
                <w:rFonts w:hint="eastAsia" w:ascii="仿宋" w:hAnsi="仿宋" w:eastAsia="仿宋" w:cs="仿宋"/>
                <w:b w:val="0"/>
                <w:bCs w:val="0"/>
                <w:color w:val="auto"/>
                <w:kern w:val="0"/>
                <w:sz w:val="20"/>
                <w:szCs w:val="20"/>
              </w:rPr>
            </w:pPr>
          </w:p>
        </w:tc>
        <w:tc>
          <w:tcPr>
            <w:tcW w:w="2240" w:type="dxa"/>
            <w:gridSpan w:val="2"/>
            <w:noWrap w:val="0"/>
            <w:vAlign w:val="center"/>
          </w:tcPr>
          <w:p w14:paraId="3280416D">
            <w:pPr>
              <w:widowControl/>
              <w:jc w:val="center"/>
              <w:rPr>
                <w:rFonts w:hint="eastAsia" w:ascii="仿宋" w:hAnsi="仿宋" w:eastAsia="仿宋" w:cs="仿宋"/>
                <w:b w:val="0"/>
                <w:bCs w:val="0"/>
                <w:color w:val="auto"/>
                <w:kern w:val="0"/>
                <w:sz w:val="20"/>
                <w:szCs w:val="20"/>
              </w:rPr>
            </w:pPr>
          </w:p>
        </w:tc>
        <w:tc>
          <w:tcPr>
            <w:tcW w:w="1832" w:type="dxa"/>
            <w:gridSpan w:val="2"/>
            <w:noWrap w:val="0"/>
            <w:vAlign w:val="center"/>
          </w:tcPr>
          <w:p w14:paraId="79F18910">
            <w:pPr>
              <w:widowControl/>
              <w:jc w:val="center"/>
              <w:rPr>
                <w:rFonts w:hint="eastAsia" w:ascii="仿宋" w:hAnsi="仿宋" w:eastAsia="仿宋" w:cs="仿宋"/>
                <w:b w:val="0"/>
                <w:bCs w:val="0"/>
                <w:color w:val="auto"/>
                <w:kern w:val="0"/>
                <w:sz w:val="20"/>
                <w:szCs w:val="20"/>
              </w:rPr>
            </w:pPr>
          </w:p>
        </w:tc>
      </w:tr>
      <w:tr w14:paraId="3BDBF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6E74935D">
            <w:pPr>
              <w:widowControl/>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 xml:space="preserve">    2、运行维护经费</w:t>
            </w:r>
          </w:p>
        </w:tc>
        <w:tc>
          <w:tcPr>
            <w:tcW w:w="2038" w:type="dxa"/>
            <w:gridSpan w:val="2"/>
            <w:noWrap w:val="0"/>
            <w:vAlign w:val="center"/>
          </w:tcPr>
          <w:p w14:paraId="4BF7DBAD">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lang w:val="en-US" w:eastAsia="zh-CN"/>
              </w:rPr>
              <w:t>817.7</w:t>
            </w:r>
          </w:p>
        </w:tc>
        <w:tc>
          <w:tcPr>
            <w:tcW w:w="2240" w:type="dxa"/>
            <w:gridSpan w:val="2"/>
            <w:noWrap w:val="0"/>
            <w:vAlign w:val="center"/>
          </w:tcPr>
          <w:p w14:paraId="5E5403D4">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lang w:val="en-US" w:eastAsia="zh-CN"/>
              </w:rPr>
              <w:t>13051.40</w:t>
            </w:r>
          </w:p>
        </w:tc>
        <w:tc>
          <w:tcPr>
            <w:tcW w:w="1832" w:type="dxa"/>
            <w:gridSpan w:val="2"/>
            <w:noWrap w:val="0"/>
            <w:vAlign w:val="center"/>
          </w:tcPr>
          <w:p w14:paraId="54E83F94">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lang w:val="en-US" w:eastAsia="zh-CN"/>
              </w:rPr>
              <w:t>3137.45</w:t>
            </w:r>
          </w:p>
        </w:tc>
      </w:tr>
      <w:tr w14:paraId="5DAE5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3354" w:type="dxa"/>
            <w:noWrap w:val="0"/>
            <w:vAlign w:val="center"/>
          </w:tcPr>
          <w:p w14:paraId="485685C4">
            <w:pPr>
              <w:widowControl/>
              <w:ind w:firstLine="400" w:firstLineChars="200"/>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3、</w:t>
            </w:r>
            <w:r>
              <w:rPr>
                <w:rFonts w:hint="eastAsia" w:ascii="仿宋" w:hAnsi="仿宋" w:eastAsia="仿宋" w:cs="仿宋"/>
                <w:b w:val="0"/>
                <w:bCs w:val="0"/>
                <w:color w:val="auto"/>
                <w:kern w:val="0"/>
                <w:sz w:val="20"/>
                <w:szCs w:val="20"/>
                <w:lang w:val="en-US" w:eastAsia="zh-CN"/>
              </w:rPr>
              <w:t>市级</w:t>
            </w:r>
            <w:r>
              <w:rPr>
                <w:rFonts w:hint="eastAsia" w:ascii="仿宋" w:hAnsi="仿宋" w:eastAsia="仿宋" w:cs="仿宋"/>
                <w:b w:val="0"/>
                <w:bCs w:val="0"/>
                <w:color w:val="auto"/>
                <w:kern w:val="0"/>
                <w:sz w:val="20"/>
                <w:szCs w:val="20"/>
              </w:rPr>
              <w:t>专项资金</w:t>
            </w:r>
          </w:p>
          <w:p w14:paraId="476FED11">
            <w:pPr>
              <w:widowControl/>
              <w:ind w:firstLine="600" w:firstLineChars="300"/>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（一个专项一行）</w:t>
            </w:r>
          </w:p>
        </w:tc>
        <w:tc>
          <w:tcPr>
            <w:tcW w:w="2038" w:type="dxa"/>
            <w:gridSpan w:val="2"/>
            <w:noWrap w:val="0"/>
            <w:vAlign w:val="center"/>
          </w:tcPr>
          <w:p w14:paraId="7F276215">
            <w:pPr>
              <w:widowControl/>
              <w:jc w:val="center"/>
              <w:rPr>
                <w:rFonts w:hint="eastAsia" w:ascii="仿宋" w:hAnsi="仿宋" w:eastAsia="仿宋" w:cs="仿宋"/>
                <w:b w:val="0"/>
                <w:bCs w:val="0"/>
                <w:color w:val="auto"/>
                <w:kern w:val="0"/>
                <w:sz w:val="20"/>
                <w:szCs w:val="20"/>
              </w:rPr>
            </w:pPr>
          </w:p>
        </w:tc>
        <w:tc>
          <w:tcPr>
            <w:tcW w:w="2240" w:type="dxa"/>
            <w:gridSpan w:val="2"/>
            <w:noWrap w:val="0"/>
            <w:vAlign w:val="center"/>
          </w:tcPr>
          <w:p w14:paraId="2F123D2C">
            <w:pPr>
              <w:widowControl/>
              <w:jc w:val="center"/>
              <w:rPr>
                <w:rFonts w:hint="eastAsia" w:ascii="仿宋" w:hAnsi="仿宋" w:eastAsia="仿宋" w:cs="仿宋"/>
                <w:b w:val="0"/>
                <w:bCs w:val="0"/>
                <w:color w:val="auto"/>
                <w:kern w:val="0"/>
                <w:sz w:val="20"/>
                <w:szCs w:val="20"/>
                <w:lang w:val="en-US" w:eastAsia="zh-CN" w:bidi="ar-SA"/>
              </w:rPr>
            </w:pPr>
          </w:p>
        </w:tc>
        <w:tc>
          <w:tcPr>
            <w:tcW w:w="1832" w:type="dxa"/>
            <w:gridSpan w:val="2"/>
            <w:noWrap w:val="0"/>
            <w:vAlign w:val="center"/>
          </w:tcPr>
          <w:p w14:paraId="7776967E">
            <w:pPr>
              <w:widowControl/>
              <w:jc w:val="center"/>
              <w:rPr>
                <w:rFonts w:hint="eastAsia" w:ascii="仿宋" w:hAnsi="仿宋" w:eastAsia="仿宋" w:cs="仿宋"/>
                <w:b w:val="0"/>
                <w:bCs w:val="0"/>
                <w:color w:val="auto"/>
                <w:kern w:val="0"/>
                <w:sz w:val="20"/>
                <w:szCs w:val="20"/>
                <w:lang w:val="en-US" w:eastAsia="zh-CN" w:bidi="ar-SA"/>
              </w:rPr>
            </w:pPr>
          </w:p>
        </w:tc>
      </w:tr>
      <w:tr w14:paraId="0CF34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67A4C7B5">
            <w:pPr>
              <w:widowControl/>
              <w:ind w:firstLine="400" w:firstLineChars="200"/>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4、其他事业类发展资金</w:t>
            </w:r>
          </w:p>
        </w:tc>
        <w:tc>
          <w:tcPr>
            <w:tcW w:w="2038" w:type="dxa"/>
            <w:gridSpan w:val="2"/>
            <w:noWrap w:val="0"/>
            <w:vAlign w:val="center"/>
          </w:tcPr>
          <w:p w14:paraId="572E584F">
            <w:pPr>
              <w:widowControl/>
              <w:jc w:val="center"/>
              <w:rPr>
                <w:rFonts w:hint="eastAsia" w:ascii="仿宋" w:hAnsi="仿宋" w:eastAsia="仿宋" w:cs="仿宋"/>
                <w:b w:val="0"/>
                <w:bCs w:val="0"/>
                <w:color w:val="auto"/>
                <w:kern w:val="0"/>
                <w:sz w:val="20"/>
                <w:szCs w:val="20"/>
              </w:rPr>
            </w:pPr>
          </w:p>
        </w:tc>
        <w:tc>
          <w:tcPr>
            <w:tcW w:w="2240" w:type="dxa"/>
            <w:gridSpan w:val="2"/>
            <w:noWrap w:val="0"/>
            <w:vAlign w:val="center"/>
          </w:tcPr>
          <w:p w14:paraId="37633E16">
            <w:pPr>
              <w:widowControl/>
              <w:jc w:val="center"/>
              <w:rPr>
                <w:rFonts w:hint="eastAsia" w:ascii="仿宋" w:hAnsi="仿宋" w:eastAsia="仿宋" w:cs="仿宋"/>
                <w:b w:val="0"/>
                <w:bCs w:val="0"/>
                <w:color w:val="auto"/>
                <w:kern w:val="0"/>
                <w:sz w:val="20"/>
                <w:szCs w:val="20"/>
              </w:rPr>
            </w:pPr>
          </w:p>
        </w:tc>
        <w:tc>
          <w:tcPr>
            <w:tcW w:w="1832" w:type="dxa"/>
            <w:gridSpan w:val="2"/>
            <w:noWrap w:val="0"/>
            <w:vAlign w:val="center"/>
          </w:tcPr>
          <w:p w14:paraId="114C2C0B">
            <w:pPr>
              <w:widowControl/>
              <w:jc w:val="center"/>
              <w:rPr>
                <w:rFonts w:hint="eastAsia" w:ascii="仿宋" w:hAnsi="仿宋" w:eastAsia="仿宋" w:cs="仿宋"/>
                <w:b w:val="0"/>
                <w:bCs w:val="0"/>
                <w:color w:val="auto"/>
                <w:kern w:val="0"/>
                <w:sz w:val="20"/>
                <w:szCs w:val="20"/>
              </w:rPr>
            </w:pPr>
          </w:p>
        </w:tc>
      </w:tr>
      <w:tr w14:paraId="77F0C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3354" w:type="dxa"/>
            <w:noWrap w:val="0"/>
            <w:vAlign w:val="center"/>
          </w:tcPr>
          <w:p w14:paraId="4E47DCF0">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w:t>
            </w:r>
          </w:p>
        </w:tc>
        <w:tc>
          <w:tcPr>
            <w:tcW w:w="2038" w:type="dxa"/>
            <w:gridSpan w:val="2"/>
            <w:noWrap w:val="0"/>
            <w:vAlign w:val="center"/>
          </w:tcPr>
          <w:p w14:paraId="2EE4BE90">
            <w:pPr>
              <w:widowControl/>
              <w:jc w:val="center"/>
              <w:rPr>
                <w:rFonts w:hint="eastAsia" w:ascii="仿宋" w:hAnsi="仿宋" w:eastAsia="仿宋" w:cs="仿宋"/>
                <w:b w:val="0"/>
                <w:bCs w:val="0"/>
                <w:color w:val="auto"/>
                <w:kern w:val="0"/>
                <w:sz w:val="20"/>
                <w:szCs w:val="20"/>
              </w:rPr>
            </w:pPr>
          </w:p>
        </w:tc>
        <w:tc>
          <w:tcPr>
            <w:tcW w:w="2240" w:type="dxa"/>
            <w:gridSpan w:val="2"/>
            <w:noWrap w:val="0"/>
            <w:vAlign w:val="center"/>
          </w:tcPr>
          <w:p w14:paraId="1226F51F">
            <w:pPr>
              <w:widowControl/>
              <w:jc w:val="center"/>
              <w:rPr>
                <w:rFonts w:hint="eastAsia" w:ascii="仿宋" w:hAnsi="仿宋" w:eastAsia="仿宋" w:cs="仿宋"/>
                <w:b w:val="0"/>
                <w:bCs w:val="0"/>
                <w:color w:val="auto"/>
                <w:kern w:val="0"/>
                <w:sz w:val="20"/>
                <w:szCs w:val="20"/>
              </w:rPr>
            </w:pPr>
          </w:p>
        </w:tc>
        <w:tc>
          <w:tcPr>
            <w:tcW w:w="1832" w:type="dxa"/>
            <w:gridSpan w:val="2"/>
            <w:noWrap w:val="0"/>
            <w:vAlign w:val="center"/>
          </w:tcPr>
          <w:p w14:paraId="031B26EE">
            <w:pPr>
              <w:widowControl/>
              <w:jc w:val="center"/>
              <w:rPr>
                <w:rFonts w:hint="eastAsia" w:ascii="仿宋" w:hAnsi="仿宋" w:eastAsia="仿宋" w:cs="仿宋"/>
                <w:b w:val="0"/>
                <w:bCs w:val="0"/>
                <w:color w:val="auto"/>
                <w:kern w:val="0"/>
                <w:sz w:val="20"/>
                <w:szCs w:val="20"/>
              </w:rPr>
            </w:pPr>
          </w:p>
        </w:tc>
      </w:tr>
      <w:tr w14:paraId="316B1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3354" w:type="dxa"/>
            <w:noWrap w:val="0"/>
            <w:vAlign w:val="center"/>
          </w:tcPr>
          <w:p w14:paraId="2A803470">
            <w:pPr>
              <w:widowControl/>
              <w:jc w:val="left"/>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lang w:val="en-US" w:eastAsia="zh-CN"/>
              </w:rPr>
              <w:t>公用经费</w:t>
            </w:r>
          </w:p>
        </w:tc>
        <w:tc>
          <w:tcPr>
            <w:tcW w:w="2038" w:type="dxa"/>
            <w:gridSpan w:val="2"/>
            <w:noWrap w:val="0"/>
            <w:vAlign w:val="center"/>
          </w:tcPr>
          <w:p w14:paraId="5323B444">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lang w:val="en-US" w:eastAsia="zh-CN"/>
              </w:rPr>
              <w:t>896.87</w:t>
            </w:r>
          </w:p>
        </w:tc>
        <w:tc>
          <w:tcPr>
            <w:tcW w:w="2240" w:type="dxa"/>
            <w:gridSpan w:val="2"/>
            <w:noWrap w:val="0"/>
            <w:vAlign w:val="center"/>
          </w:tcPr>
          <w:p w14:paraId="0AC9B454">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lang w:val="en-US" w:eastAsia="zh-CN"/>
              </w:rPr>
              <w:t>300.00</w:t>
            </w:r>
          </w:p>
        </w:tc>
        <w:tc>
          <w:tcPr>
            <w:tcW w:w="1832" w:type="dxa"/>
            <w:gridSpan w:val="2"/>
            <w:noWrap w:val="0"/>
            <w:vAlign w:val="center"/>
          </w:tcPr>
          <w:p w14:paraId="66B7A4EB">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lang w:val="en-US" w:eastAsia="zh-CN"/>
              </w:rPr>
              <w:t>129.63</w:t>
            </w:r>
          </w:p>
        </w:tc>
      </w:tr>
      <w:tr w14:paraId="61F52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354" w:type="dxa"/>
            <w:noWrap w:val="0"/>
            <w:vAlign w:val="center"/>
          </w:tcPr>
          <w:p w14:paraId="59775069">
            <w:pPr>
              <w:widowControl/>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 xml:space="preserve">    其中：办公费</w:t>
            </w:r>
          </w:p>
        </w:tc>
        <w:tc>
          <w:tcPr>
            <w:tcW w:w="2038" w:type="dxa"/>
            <w:gridSpan w:val="2"/>
            <w:noWrap w:val="0"/>
            <w:vAlign w:val="center"/>
          </w:tcPr>
          <w:p w14:paraId="0CE5DA2A">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lang w:val="en-US" w:eastAsia="zh-CN"/>
              </w:rPr>
              <w:t>10.62</w:t>
            </w:r>
          </w:p>
        </w:tc>
        <w:tc>
          <w:tcPr>
            <w:tcW w:w="2240" w:type="dxa"/>
            <w:gridSpan w:val="2"/>
            <w:noWrap w:val="0"/>
            <w:vAlign w:val="center"/>
          </w:tcPr>
          <w:p w14:paraId="75E3248A">
            <w:pPr>
              <w:widowControl/>
              <w:jc w:val="center"/>
              <w:rPr>
                <w:rFonts w:hint="default" w:ascii="仿宋" w:hAnsi="仿宋" w:eastAsia="仿宋" w:cs="仿宋"/>
                <w:b w:val="0"/>
                <w:bCs w:val="0"/>
                <w:color w:val="FF0000"/>
                <w:kern w:val="0"/>
                <w:sz w:val="20"/>
                <w:szCs w:val="20"/>
                <w:lang w:val="en-US" w:eastAsia="zh-CN"/>
              </w:rPr>
            </w:pPr>
            <w:r>
              <w:rPr>
                <w:rFonts w:hint="eastAsia" w:ascii="仿宋" w:hAnsi="仿宋" w:eastAsia="仿宋" w:cs="仿宋"/>
                <w:b w:val="0"/>
                <w:bCs w:val="0"/>
                <w:color w:val="auto"/>
                <w:kern w:val="0"/>
                <w:sz w:val="20"/>
                <w:szCs w:val="20"/>
                <w:lang w:val="en-US" w:eastAsia="zh-CN"/>
              </w:rPr>
              <w:t>30.00</w:t>
            </w:r>
          </w:p>
        </w:tc>
        <w:tc>
          <w:tcPr>
            <w:tcW w:w="1832" w:type="dxa"/>
            <w:gridSpan w:val="2"/>
            <w:noWrap w:val="0"/>
            <w:vAlign w:val="center"/>
          </w:tcPr>
          <w:p w14:paraId="5E358E8D">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lang w:val="en-US" w:eastAsia="zh-CN"/>
              </w:rPr>
              <w:t>0.39</w:t>
            </w:r>
          </w:p>
        </w:tc>
      </w:tr>
      <w:tr w14:paraId="3D378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3354" w:type="dxa"/>
            <w:noWrap w:val="0"/>
            <w:vAlign w:val="center"/>
          </w:tcPr>
          <w:p w14:paraId="288B3CD3">
            <w:pPr>
              <w:widowControl/>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 xml:space="preserve">          水费、电费、差旅费</w:t>
            </w:r>
          </w:p>
        </w:tc>
        <w:tc>
          <w:tcPr>
            <w:tcW w:w="2038" w:type="dxa"/>
            <w:gridSpan w:val="2"/>
            <w:noWrap w:val="0"/>
            <w:vAlign w:val="center"/>
          </w:tcPr>
          <w:p w14:paraId="4318561A">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lang w:val="en-US" w:eastAsia="zh-CN"/>
              </w:rPr>
              <w:t>166.58</w:t>
            </w:r>
          </w:p>
        </w:tc>
        <w:tc>
          <w:tcPr>
            <w:tcW w:w="2240" w:type="dxa"/>
            <w:gridSpan w:val="2"/>
            <w:noWrap w:val="0"/>
            <w:vAlign w:val="center"/>
          </w:tcPr>
          <w:p w14:paraId="76B370A1">
            <w:pPr>
              <w:widowControl/>
              <w:jc w:val="center"/>
              <w:rPr>
                <w:rFonts w:hint="default" w:ascii="仿宋" w:hAnsi="仿宋" w:eastAsia="仿宋" w:cs="仿宋"/>
                <w:b w:val="0"/>
                <w:bCs w:val="0"/>
                <w:color w:val="FF0000"/>
                <w:kern w:val="0"/>
                <w:sz w:val="20"/>
                <w:szCs w:val="20"/>
                <w:lang w:val="en-US" w:eastAsia="zh-CN"/>
              </w:rPr>
            </w:pPr>
          </w:p>
        </w:tc>
        <w:tc>
          <w:tcPr>
            <w:tcW w:w="1832" w:type="dxa"/>
            <w:gridSpan w:val="2"/>
            <w:noWrap w:val="0"/>
            <w:vAlign w:val="center"/>
          </w:tcPr>
          <w:p w14:paraId="5A5DA430">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lang w:val="en-US" w:eastAsia="zh-CN"/>
              </w:rPr>
              <w:t>80.80</w:t>
            </w:r>
          </w:p>
        </w:tc>
      </w:tr>
      <w:tr w14:paraId="63183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3354" w:type="dxa"/>
            <w:noWrap w:val="0"/>
            <w:vAlign w:val="center"/>
          </w:tcPr>
          <w:p w14:paraId="1BE22EB1">
            <w:pPr>
              <w:widowControl/>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 xml:space="preserve">          会议费、培训费</w:t>
            </w:r>
          </w:p>
        </w:tc>
        <w:tc>
          <w:tcPr>
            <w:tcW w:w="2038" w:type="dxa"/>
            <w:gridSpan w:val="2"/>
            <w:noWrap w:val="0"/>
            <w:vAlign w:val="center"/>
          </w:tcPr>
          <w:p w14:paraId="13B8A37A">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lang w:val="en-US" w:eastAsia="zh-CN"/>
              </w:rPr>
              <w:t>0.00</w:t>
            </w:r>
          </w:p>
        </w:tc>
        <w:tc>
          <w:tcPr>
            <w:tcW w:w="2240" w:type="dxa"/>
            <w:gridSpan w:val="2"/>
            <w:noWrap w:val="0"/>
            <w:vAlign w:val="center"/>
          </w:tcPr>
          <w:p w14:paraId="17C93F5E">
            <w:pPr>
              <w:widowControl/>
              <w:jc w:val="center"/>
              <w:rPr>
                <w:rFonts w:hint="eastAsia" w:ascii="仿宋" w:hAnsi="仿宋" w:eastAsia="仿宋" w:cs="仿宋"/>
                <w:b w:val="0"/>
                <w:bCs w:val="0"/>
                <w:color w:val="FF0000"/>
                <w:kern w:val="0"/>
                <w:sz w:val="20"/>
                <w:szCs w:val="20"/>
              </w:rPr>
            </w:pPr>
          </w:p>
        </w:tc>
        <w:tc>
          <w:tcPr>
            <w:tcW w:w="1832" w:type="dxa"/>
            <w:gridSpan w:val="2"/>
            <w:noWrap w:val="0"/>
            <w:vAlign w:val="center"/>
          </w:tcPr>
          <w:p w14:paraId="54E32973">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lang w:val="en-US" w:eastAsia="zh-CN"/>
              </w:rPr>
              <w:t>0.00</w:t>
            </w:r>
          </w:p>
        </w:tc>
      </w:tr>
      <w:tr w14:paraId="4F537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04D17696">
            <w:pPr>
              <w:widowControl/>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政府采购金额</w:t>
            </w:r>
          </w:p>
        </w:tc>
        <w:tc>
          <w:tcPr>
            <w:tcW w:w="2038" w:type="dxa"/>
            <w:gridSpan w:val="2"/>
            <w:noWrap w:val="0"/>
            <w:vAlign w:val="center"/>
          </w:tcPr>
          <w:p w14:paraId="078E4634">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w:t>
            </w:r>
          </w:p>
        </w:tc>
        <w:tc>
          <w:tcPr>
            <w:tcW w:w="2240" w:type="dxa"/>
            <w:gridSpan w:val="2"/>
            <w:noWrap w:val="0"/>
            <w:vAlign w:val="center"/>
          </w:tcPr>
          <w:p w14:paraId="0CF3F574">
            <w:pPr>
              <w:widowControl/>
              <w:jc w:val="center"/>
              <w:rPr>
                <w:rFonts w:hint="default" w:ascii="仿宋" w:hAnsi="仿宋" w:eastAsia="仿宋" w:cs="仿宋"/>
                <w:b w:val="0"/>
                <w:bCs w:val="0"/>
                <w:color w:val="FF0000"/>
                <w:kern w:val="0"/>
                <w:sz w:val="20"/>
                <w:szCs w:val="20"/>
                <w:lang w:val="en-US" w:eastAsia="zh-CN"/>
              </w:rPr>
            </w:pPr>
            <w:r>
              <w:rPr>
                <w:rFonts w:hint="eastAsia" w:ascii="仿宋" w:hAnsi="仿宋" w:eastAsia="仿宋" w:cs="仿宋"/>
                <w:b w:val="0"/>
                <w:bCs w:val="0"/>
                <w:color w:val="auto"/>
                <w:kern w:val="0"/>
                <w:sz w:val="20"/>
                <w:szCs w:val="20"/>
                <w:lang w:val="en-US" w:eastAsia="zh-CN"/>
              </w:rPr>
              <w:t>10508.98</w:t>
            </w:r>
          </w:p>
        </w:tc>
        <w:tc>
          <w:tcPr>
            <w:tcW w:w="1832" w:type="dxa"/>
            <w:gridSpan w:val="2"/>
            <w:noWrap w:val="0"/>
            <w:vAlign w:val="center"/>
          </w:tcPr>
          <w:p w14:paraId="54E4E095">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lang w:val="en-US" w:eastAsia="zh-CN"/>
              </w:rPr>
              <w:t>1175.15</w:t>
            </w:r>
          </w:p>
        </w:tc>
      </w:tr>
      <w:tr w14:paraId="7A672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54" w:type="dxa"/>
            <w:noWrap w:val="0"/>
            <w:vAlign w:val="center"/>
          </w:tcPr>
          <w:p w14:paraId="29C1A82B">
            <w:pPr>
              <w:widowControl/>
              <w:jc w:val="left"/>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 xml:space="preserve">部门基本支出预算调整 </w:t>
            </w:r>
          </w:p>
        </w:tc>
        <w:tc>
          <w:tcPr>
            <w:tcW w:w="2038" w:type="dxa"/>
            <w:gridSpan w:val="2"/>
            <w:noWrap w:val="0"/>
            <w:vAlign w:val="center"/>
          </w:tcPr>
          <w:p w14:paraId="79F91FF2">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w:t>
            </w:r>
          </w:p>
        </w:tc>
        <w:tc>
          <w:tcPr>
            <w:tcW w:w="2240" w:type="dxa"/>
            <w:gridSpan w:val="2"/>
            <w:noWrap w:val="0"/>
            <w:vAlign w:val="center"/>
          </w:tcPr>
          <w:p w14:paraId="050AF1AE">
            <w:pPr>
              <w:widowControl/>
              <w:jc w:val="center"/>
              <w:rPr>
                <w:rFonts w:hint="default"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rPr>
              <w:t>　</w:t>
            </w:r>
            <w:r>
              <w:rPr>
                <w:rFonts w:hint="eastAsia" w:ascii="仿宋" w:hAnsi="仿宋" w:eastAsia="仿宋" w:cs="仿宋"/>
                <w:b w:val="0"/>
                <w:bCs w:val="0"/>
                <w:color w:val="auto"/>
                <w:kern w:val="0"/>
                <w:sz w:val="20"/>
                <w:szCs w:val="20"/>
                <w:lang w:val="en-US" w:eastAsia="zh-CN"/>
              </w:rPr>
              <w:t>2685.50</w:t>
            </w:r>
          </w:p>
        </w:tc>
        <w:tc>
          <w:tcPr>
            <w:tcW w:w="1832" w:type="dxa"/>
            <w:gridSpan w:val="2"/>
            <w:noWrap w:val="0"/>
            <w:vAlign w:val="center"/>
          </w:tcPr>
          <w:p w14:paraId="0630F3F9">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lang w:val="en-US" w:eastAsia="zh-CN"/>
              </w:rPr>
              <w:t>2549.03</w:t>
            </w:r>
            <w:r>
              <w:rPr>
                <w:rFonts w:hint="eastAsia" w:ascii="仿宋" w:hAnsi="仿宋" w:eastAsia="仿宋" w:cs="仿宋"/>
                <w:b w:val="0"/>
                <w:bCs w:val="0"/>
                <w:color w:val="auto"/>
                <w:kern w:val="0"/>
                <w:sz w:val="20"/>
                <w:szCs w:val="20"/>
              </w:rPr>
              <w:t>　</w:t>
            </w:r>
          </w:p>
        </w:tc>
      </w:tr>
      <w:tr w14:paraId="6F977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3354" w:type="dxa"/>
            <w:vMerge w:val="restart"/>
            <w:noWrap w:val="0"/>
            <w:vAlign w:val="center"/>
          </w:tcPr>
          <w:p w14:paraId="1D004AC2">
            <w:pPr>
              <w:widowControl/>
              <w:jc w:val="center"/>
              <w:rPr>
                <w:rFonts w:hint="eastAsia" w:ascii="仿宋" w:hAnsi="仿宋" w:eastAsia="仿宋" w:cs="仿宋"/>
                <w:b w:val="0"/>
                <w:bCs w:val="0"/>
                <w:color w:val="auto"/>
                <w:kern w:val="0"/>
                <w:sz w:val="20"/>
                <w:szCs w:val="20"/>
                <w:lang w:eastAsia="zh-CN"/>
              </w:rPr>
            </w:pPr>
            <w:r>
              <w:rPr>
                <w:rFonts w:hint="eastAsia" w:ascii="仿宋" w:hAnsi="仿宋" w:eastAsia="仿宋" w:cs="仿宋"/>
                <w:b w:val="0"/>
                <w:bCs w:val="0"/>
                <w:color w:val="auto"/>
                <w:kern w:val="0"/>
                <w:sz w:val="20"/>
                <w:szCs w:val="20"/>
              </w:rPr>
              <w:t>楼堂馆所控制情况</w:t>
            </w:r>
          </w:p>
          <w:p w14:paraId="486D0953">
            <w:pPr>
              <w:widowControl/>
              <w:jc w:val="center"/>
              <w:rPr>
                <w:rFonts w:hint="eastAsia" w:ascii="仿宋" w:hAnsi="仿宋" w:eastAsia="仿宋" w:cs="仿宋"/>
                <w:b w:val="0"/>
                <w:bCs w:val="0"/>
                <w:color w:val="auto"/>
                <w:kern w:val="0"/>
                <w:sz w:val="20"/>
                <w:szCs w:val="20"/>
                <w:lang w:eastAsia="zh-CN"/>
              </w:rPr>
            </w:pPr>
          </w:p>
        </w:tc>
        <w:tc>
          <w:tcPr>
            <w:tcW w:w="1189" w:type="dxa"/>
            <w:noWrap w:val="0"/>
            <w:vAlign w:val="center"/>
          </w:tcPr>
          <w:p w14:paraId="6723929E">
            <w:pPr>
              <w:widowControl/>
              <w:spacing w:line="240" w:lineRule="exact"/>
              <w:jc w:val="center"/>
              <w:rPr>
                <w:rFonts w:hint="eastAsia" w:ascii="仿宋" w:hAnsi="仿宋" w:eastAsia="仿宋" w:cs="仿宋"/>
                <w:b w:val="0"/>
                <w:bCs w:val="0"/>
                <w:color w:val="auto"/>
                <w:kern w:val="0"/>
                <w:sz w:val="20"/>
                <w:szCs w:val="20"/>
                <w:lang w:eastAsia="zh-CN"/>
              </w:rPr>
            </w:pPr>
            <w:r>
              <w:rPr>
                <w:rFonts w:hint="eastAsia" w:ascii="仿宋" w:hAnsi="仿宋" w:eastAsia="仿宋" w:cs="仿宋"/>
                <w:b w:val="0"/>
                <w:bCs w:val="0"/>
                <w:color w:val="auto"/>
                <w:kern w:val="0"/>
                <w:sz w:val="20"/>
                <w:szCs w:val="20"/>
              </w:rPr>
              <w:t>批复规模</w:t>
            </w:r>
          </w:p>
          <w:p w14:paraId="145D04BF">
            <w:pPr>
              <w:widowControl/>
              <w:spacing w:line="240" w:lineRule="exact"/>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w:t>
            </w:r>
          </w:p>
        </w:tc>
        <w:tc>
          <w:tcPr>
            <w:tcW w:w="849" w:type="dxa"/>
            <w:noWrap w:val="0"/>
            <w:vAlign w:val="center"/>
          </w:tcPr>
          <w:p w14:paraId="0DD9BF31">
            <w:pPr>
              <w:widowControl/>
              <w:spacing w:line="240" w:lineRule="exact"/>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实际规模（㎡）</w:t>
            </w:r>
          </w:p>
        </w:tc>
        <w:tc>
          <w:tcPr>
            <w:tcW w:w="1129" w:type="dxa"/>
            <w:noWrap w:val="0"/>
            <w:vAlign w:val="center"/>
          </w:tcPr>
          <w:p w14:paraId="0FD05782">
            <w:pPr>
              <w:widowControl/>
              <w:spacing w:line="240" w:lineRule="exact"/>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规模控制率</w:t>
            </w:r>
          </w:p>
        </w:tc>
        <w:tc>
          <w:tcPr>
            <w:tcW w:w="1111" w:type="dxa"/>
            <w:noWrap w:val="0"/>
            <w:vAlign w:val="center"/>
          </w:tcPr>
          <w:p w14:paraId="1B3B2578">
            <w:pPr>
              <w:widowControl/>
              <w:spacing w:line="240" w:lineRule="exact"/>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预算投资（万元）</w:t>
            </w:r>
          </w:p>
        </w:tc>
        <w:tc>
          <w:tcPr>
            <w:tcW w:w="969" w:type="dxa"/>
            <w:noWrap w:val="0"/>
            <w:vAlign w:val="center"/>
          </w:tcPr>
          <w:p w14:paraId="75AE48C0">
            <w:pPr>
              <w:widowControl/>
              <w:spacing w:line="240" w:lineRule="exact"/>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实际投资（万元）</w:t>
            </w:r>
          </w:p>
        </w:tc>
        <w:tc>
          <w:tcPr>
            <w:tcW w:w="863" w:type="dxa"/>
            <w:noWrap w:val="0"/>
            <w:vAlign w:val="center"/>
          </w:tcPr>
          <w:p w14:paraId="50044986">
            <w:pPr>
              <w:widowControl/>
              <w:spacing w:line="240" w:lineRule="exact"/>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投资概算控制率</w:t>
            </w:r>
          </w:p>
        </w:tc>
      </w:tr>
      <w:tr w14:paraId="2B316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3354" w:type="dxa"/>
            <w:vMerge w:val="continue"/>
            <w:noWrap w:val="0"/>
            <w:vAlign w:val="center"/>
          </w:tcPr>
          <w:p w14:paraId="028E71DB">
            <w:pPr>
              <w:widowControl/>
              <w:jc w:val="left"/>
              <w:rPr>
                <w:rFonts w:hint="eastAsia" w:ascii="仿宋" w:hAnsi="仿宋" w:eastAsia="仿宋" w:cs="仿宋"/>
                <w:b w:val="0"/>
                <w:bCs w:val="0"/>
                <w:color w:val="auto"/>
                <w:kern w:val="0"/>
                <w:sz w:val="20"/>
                <w:szCs w:val="20"/>
              </w:rPr>
            </w:pPr>
          </w:p>
        </w:tc>
        <w:tc>
          <w:tcPr>
            <w:tcW w:w="1189" w:type="dxa"/>
            <w:noWrap w:val="0"/>
            <w:vAlign w:val="center"/>
          </w:tcPr>
          <w:p w14:paraId="153B6593">
            <w:pPr>
              <w:widowControl/>
              <w:jc w:val="center"/>
              <w:rPr>
                <w:rFonts w:hint="eastAsia"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rPr>
              <w:t>　</w:t>
            </w:r>
            <w:r>
              <w:rPr>
                <w:rFonts w:hint="eastAsia" w:ascii="仿宋" w:hAnsi="仿宋" w:eastAsia="仿宋" w:cs="仿宋"/>
                <w:b w:val="0"/>
                <w:bCs w:val="0"/>
                <w:color w:val="auto"/>
                <w:kern w:val="0"/>
                <w:sz w:val="20"/>
                <w:szCs w:val="20"/>
                <w:lang w:val="en-US" w:eastAsia="zh-CN"/>
              </w:rPr>
              <w:t>0</w:t>
            </w:r>
          </w:p>
        </w:tc>
        <w:tc>
          <w:tcPr>
            <w:tcW w:w="849" w:type="dxa"/>
            <w:noWrap w:val="0"/>
            <w:vAlign w:val="center"/>
          </w:tcPr>
          <w:p w14:paraId="2259BCCA">
            <w:pPr>
              <w:widowControl/>
              <w:jc w:val="left"/>
              <w:rPr>
                <w:rFonts w:hint="eastAsia"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rPr>
              <w:t>　</w:t>
            </w:r>
            <w:r>
              <w:rPr>
                <w:rFonts w:hint="eastAsia" w:ascii="仿宋" w:hAnsi="仿宋" w:eastAsia="仿宋" w:cs="仿宋"/>
                <w:b w:val="0"/>
                <w:bCs w:val="0"/>
                <w:color w:val="auto"/>
                <w:kern w:val="0"/>
                <w:sz w:val="20"/>
                <w:szCs w:val="20"/>
                <w:lang w:val="en-US" w:eastAsia="zh-CN"/>
              </w:rPr>
              <w:t>0</w:t>
            </w:r>
          </w:p>
        </w:tc>
        <w:tc>
          <w:tcPr>
            <w:tcW w:w="1129" w:type="dxa"/>
            <w:noWrap w:val="0"/>
            <w:vAlign w:val="center"/>
          </w:tcPr>
          <w:p w14:paraId="49BC5C5D">
            <w:pPr>
              <w:widowControl/>
              <w:jc w:val="left"/>
              <w:rPr>
                <w:rFonts w:hint="eastAsia"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rPr>
              <w:t>　</w:t>
            </w:r>
            <w:r>
              <w:rPr>
                <w:rFonts w:hint="eastAsia" w:ascii="仿宋" w:hAnsi="仿宋" w:eastAsia="仿宋" w:cs="仿宋"/>
                <w:b w:val="0"/>
                <w:bCs w:val="0"/>
                <w:color w:val="auto"/>
                <w:kern w:val="0"/>
                <w:sz w:val="20"/>
                <w:szCs w:val="20"/>
                <w:lang w:val="en-US" w:eastAsia="zh-CN"/>
              </w:rPr>
              <w:t>0</w:t>
            </w:r>
          </w:p>
        </w:tc>
        <w:tc>
          <w:tcPr>
            <w:tcW w:w="1111" w:type="dxa"/>
            <w:noWrap w:val="0"/>
            <w:vAlign w:val="center"/>
          </w:tcPr>
          <w:p w14:paraId="3CCF9287">
            <w:pPr>
              <w:widowControl/>
              <w:jc w:val="left"/>
              <w:rPr>
                <w:rFonts w:hint="eastAsia"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rPr>
              <w:t>　</w:t>
            </w:r>
            <w:r>
              <w:rPr>
                <w:rFonts w:hint="eastAsia" w:ascii="仿宋" w:hAnsi="仿宋" w:eastAsia="仿宋" w:cs="仿宋"/>
                <w:b w:val="0"/>
                <w:bCs w:val="0"/>
                <w:color w:val="auto"/>
                <w:kern w:val="0"/>
                <w:sz w:val="20"/>
                <w:szCs w:val="20"/>
                <w:lang w:val="en-US" w:eastAsia="zh-CN"/>
              </w:rPr>
              <w:t>0</w:t>
            </w:r>
          </w:p>
        </w:tc>
        <w:tc>
          <w:tcPr>
            <w:tcW w:w="969" w:type="dxa"/>
            <w:noWrap w:val="0"/>
            <w:vAlign w:val="center"/>
          </w:tcPr>
          <w:p w14:paraId="24D3872E">
            <w:pPr>
              <w:widowControl/>
              <w:jc w:val="left"/>
              <w:rPr>
                <w:rFonts w:hint="eastAsia"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rPr>
              <w:t>　</w:t>
            </w:r>
            <w:r>
              <w:rPr>
                <w:rFonts w:hint="eastAsia" w:ascii="仿宋" w:hAnsi="仿宋" w:eastAsia="仿宋" w:cs="仿宋"/>
                <w:b w:val="0"/>
                <w:bCs w:val="0"/>
                <w:color w:val="auto"/>
                <w:kern w:val="0"/>
                <w:sz w:val="20"/>
                <w:szCs w:val="20"/>
                <w:lang w:val="en-US" w:eastAsia="zh-CN"/>
              </w:rPr>
              <w:t>0</w:t>
            </w:r>
          </w:p>
        </w:tc>
        <w:tc>
          <w:tcPr>
            <w:tcW w:w="863" w:type="dxa"/>
            <w:noWrap w:val="0"/>
            <w:vAlign w:val="center"/>
          </w:tcPr>
          <w:p w14:paraId="36496ADD">
            <w:pPr>
              <w:widowControl/>
              <w:jc w:val="left"/>
              <w:rPr>
                <w:rFonts w:hint="eastAsia" w:ascii="仿宋" w:hAnsi="仿宋" w:eastAsia="仿宋" w:cs="仿宋"/>
                <w:b w:val="0"/>
                <w:bCs w:val="0"/>
                <w:color w:val="auto"/>
                <w:kern w:val="0"/>
                <w:sz w:val="20"/>
                <w:szCs w:val="20"/>
                <w:lang w:val="en-US" w:eastAsia="zh-CN"/>
              </w:rPr>
            </w:pPr>
            <w:r>
              <w:rPr>
                <w:rFonts w:hint="eastAsia" w:ascii="仿宋" w:hAnsi="仿宋" w:eastAsia="仿宋" w:cs="仿宋"/>
                <w:b w:val="0"/>
                <w:bCs w:val="0"/>
                <w:color w:val="auto"/>
                <w:kern w:val="0"/>
                <w:sz w:val="20"/>
                <w:szCs w:val="20"/>
              </w:rPr>
              <w:t>　</w:t>
            </w:r>
            <w:r>
              <w:rPr>
                <w:rFonts w:hint="eastAsia" w:ascii="仿宋" w:hAnsi="仿宋" w:eastAsia="仿宋" w:cs="仿宋"/>
                <w:b w:val="0"/>
                <w:bCs w:val="0"/>
                <w:color w:val="auto"/>
                <w:kern w:val="0"/>
                <w:sz w:val="20"/>
                <w:szCs w:val="20"/>
                <w:lang w:val="en-US" w:eastAsia="zh-CN"/>
              </w:rPr>
              <w:t>0</w:t>
            </w:r>
          </w:p>
        </w:tc>
      </w:tr>
      <w:tr w14:paraId="38195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3354" w:type="dxa"/>
            <w:noWrap w:val="0"/>
            <w:vAlign w:val="center"/>
          </w:tcPr>
          <w:p w14:paraId="62446054">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rPr>
              <w:t>厉行节约保障措施</w:t>
            </w:r>
          </w:p>
        </w:tc>
        <w:tc>
          <w:tcPr>
            <w:tcW w:w="6110" w:type="dxa"/>
            <w:gridSpan w:val="6"/>
            <w:noWrap w:val="0"/>
            <w:vAlign w:val="center"/>
          </w:tcPr>
          <w:p w14:paraId="7AA5AE4F">
            <w:pPr>
              <w:widowControl/>
              <w:jc w:val="center"/>
              <w:rPr>
                <w:rFonts w:hint="eastAsia" w:ascii="仿宋" w:hAnsi="仿宋" w:eastAsia="仿宋" w:cs="仿宋"/>
                <w:b w:val="0"/>
                <w:bCs w:val="0"/>
                <w:color w:val="auto"/>
                <w:kern w:val="0"/>
                <w:sz w:val="20"/>
                <w:szCs w:val="20"/>
              </w:rPr>
            </w:pPr>
            <w:r>
              <w:rPr>
                <w:rFonts w:hint="eastAsia" w:ascii="仿宋" w:hAnsi="仿宋" w:eastAsia="仿宋" w:cs="仿宋"/>
                <w:b w:val="0"/>
                <w:bCs w:val="0"/>
                <w:color w:val="auto"/>
                <w:kern w:val="0"/>
                <w:sz w:val="20"/>
                <w:szCs w:val="20"/>
                <w:lang w:val="en-US" w:eastAsia="zh-CN"/>
              </w:rPr>
              <w:t>严格按照各项规章制度执行</w:t>
            </w:r>
            <w:r>
              <w:rPr>
                <w:rFonts w:hint="eastAsia" w:ascii="仿宋" w:hAnsi="仿宋" w:eastAsia="仿宋" w:cs="仿宋"/>
                <w:b w:val="0"/>
                <w:bCs w:val="0"/>
                <w:color w:val="auto"/>
                <w:kern w:val="0"/>
                <w:sz w:val="20"/>
                <w:szCs w:val="20"/>
              </w:rPr>
              <w:t>　</w:t>
            </w:r>
          </w:p>
        </w:tc>
      </w:tr>
    </w:tbl>
    <w:p w14:paraId="2836555F">
      <w:pPr>
        <w:pStyle w:val="11"/>
        <w:keepNext/>
        <w:keepLines/>
        <w:pageBreakBefore w:val="0"/>
        <w:widowControl w:val="0"/>
        <w:kinsoku/>
        <w:wordWrap/>
        <w:overflowPunct/>
        <w:topLinePunct w:val="0"/>
        <w:autoSpaceDE/>
        <w:autoSpaceDN/>
        <w:bidi w:val="0"/>
        <w:adjustRightInd/>
        <w:snapToGrid/>
        <w:spacing w:line="280" w:lineRule="exact"/>
        <w:textAlignment w:val="auto"/>
        <w:rPr>
          <w:rFonts w:hint="eastAsia"/>
          <w:color w:val="auto"/>
          <w:lang w:val="en-US" w:eastAsia="zh-CN"/>
        </w:rPr>
      </w:pPr>
      <w:r>
        <w:rPr>
          <w:rFonts w:eastAsia="仿宋_GB2312"/>
          <w:color w:val="auto"/>
          <w:kern w:val="0"/>
          <w:sz w:val="22"/>
        </w:rPr>
        <w:t>说明：“项目支出”需要填报基本支出以外的所有项目支出情况，“公用经费”填报基本支出中的一般商品和服务支出。</w:t>
      </w:r>
    </w:p>
    <w:p w14:paraId="03ED90F7">
      <w:pPr>
        <w:widowControl w:val="0"/>
        <w:kinsoku/>
        <w:autoSpaceDE/>
        <w:autoSpaceDN/>
        <w:adjustRightInd/>
        <w:snapToGrid/>
        <w:spacing w:line="600" w:lineRule="exact"/>
        <w:jc w:val="both"/>
        <w:textAlignment w:val="auto"/>
        <w:rPr>
          <w:rFonts w:hint="default" w:ascii="方正小标宋_GBK" w:hAnsi="方正小标宋_GBK" w:eastAsia="方正小标宋_GBK" w:cs="方正小标宋_GBK"/>
          <w:i w:val="0"/>
          <w:iCs w:val="0"/>
          <w:caps w:val="0"/>
          <w:color w:val="auto"/>
          <w:spacing w:val="0"/>
          <w:sz w:val="32"/>
          <w:szCs w:val="32"/>
          <w:shd w:val="clear" w:fill="FFFFFF"/>
          <w:lang w:val="en-US" w:eastAsia="zh-CN"/>
        </w:rPr>
      </w:pPr>
      <w:r>
        <w:rPr>
          <w:rFonts w:hint="default" w:ascii="Times New Roman" w:hAnsi="Times New Roman" w:eastAsia="仿宋_GB2312" w:cs="Times New Roman"/>
          <w:snapToGrid/>
          <w:color w:val="auto"/>
          <w:kern w:val="0"/>
          <w:sz w:val="24"/>
          <w:szCs w:val="24"/>
          <w:lang w:val="en-US" w:eastAsia="zh-CN" w:bidi="ar-SA"/>
        </w:rPr>
        <w:t>填表人：</w:t>
      </w:r>
      <w:r>
        <w:rPr>
          <w:rFonts w:hint="eastAsia" w:ascii="Times New Roman" w:hAnsi="Times New Roman" w:eastAsia="仿宋_GB2312" w:cs="Times New Roman"/>
          <w:snapToGrid/>
          <w:color w:val="auto"/>
          <w:kern w:val="0"/>
          <w:sz w:val="24"/>
          <w:szCs w:val="24"/>
          <w:lang w:val="en-US" w:eastAsia="zh-CN" w:bidi="ar-SA"/>
        </w:rPr>
        <w:t xml:space="preserve">                 </w:t>
      </w:r>
      <w:r>
        <w:rPr>
          <w:rFonts w:hint="default" w:ascii="Times New Roman" w:hAnsi="Times New Roman" w:eastAsia="仿宋_GB2312" w:cs="Times New Roman"/>
          <w:snapToGrid/>
          <w:color w:val="auto"/>
          <w:kern w:val="0"/>
          <w:sz w:val="24"/>
          <w:szCs w:val="24"/>
          <w:lang w:val="en-US" w:eastAsia="zh-CN" w:bidi="ar-SA"/>
        </w:rPr>
        <w:t xml:space="preserve">  填报日期：</w:t>
      </w:r>
      <w:r>
        <w:rPr>
          <w:rFonts w:hint="eastAsia" w:ascii="Times New Roman" w:hAnsi="Times New Roman" w:eastAsia="仿宋_GB2312" w:cs="Times New Roman"/>
          <w:snapToGrid/>
          <w:color w:val="auto"/>
          <w:kern w:val="0"/>
          <w:sz w:val="24"/>
          <w:szCs w:val="24"/>
          <w:lang w:val="en-US" w:eastAsia="zh-CN" w:bidi="ar-SA"/>
        </w:rPr>
        <w:t xml:space="preserve">     </w:t>
      </w:r>
      <w:r>
        <w:rPr>
          <w:rFonts w:hint="default" w:ascii="Times New Roman" w:hAnsi="Times New Roman" w:eastAsia="仿宋_GB2312" w:cs="Times New Roman"/>
          <w:snapToGrid/>
          <w:color w:val="auto"/>
          <w:kern w:val="0"/>
          <w:sz w:val="24"/>
          <w:szCs w:val="24"/>
          <w:lang w:val="en-US" w:eastAsia="zh-CN" w:bidi="ar-SA"/>
        </w:rPr>
        <w:t xml:space="preserve"> </w:t>
      </w:r>
      <w:r>
        <w:rPr>
          <w:rFonts w:hint="eastAsia" w:ascii="Times New Roman" w:hAnsi="Times New Roman" w:eastAsia="仿宋_GB2312" w:cs="Times New Roman"/>
          <w:snapToGrid/>
          <w:color w:val="auto"/>
          <w:kern w:val="0"/>
          <w:sz w:val="24"/>
          <w:szCs w:val="24"/>
          <w:lang w:val="en-US" w:eastAsia="zh-CN" w:bidi="ar-SA"/>
        </w:rPr>
        <w:t xml:space="preserve">                </w:t>
      </w:r>
      <w:r>
        <w:rPr>
          <w:rFonts w:hint="default" w:ascii="Times New Roman" w:hAnsi="Times New Roman" w:eastAsia="仿宋_GB2312" w:cs="Times New Roman"/>
          <w:snapToGrid/>
          <w:color w:val="auto"/>
          <w:kern w:val="0"/>
          <w:sz w:val="24"/>
          <w:szCs w:val="24"/>
          <w:lang w:val="en-US" w:eastAsia="zh-CN" w:bidi="ar-SA"/>
        </w:rPr>
        <w:t>联系电话：</w:t>
      </w:r>
      <w:r>
        <w:rPr>
          <w:rFonts w:hint="eastAsia" w:ascii="Times New Roman" w:hAnsi="Times New Roman" w:eastAsia="仿宋_GB2312" w:cs="Times New Roman"/>
          <w:snapToGrid/>
          <w:color w:val="auto"/>
          <w:kern w:val="0"/>
          <w:sz w:val="24"/>
          <w:szCs w:val="24"/>
          <w:lang w:val="en-US" w:eastAsia="zh-CN" w:bidi="ar-SA"/>
        </w:rPr>
        <w:t xml:space="preserve"> </w:t>
      </w:r>
    </w:p>
    <w:p w14:paraId="00D4E2A8">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right="0" w:firstLine="0"/>
        <w:jc w:val="both"/>
        <w:textAlignment w:val="auto"/>
        <w:rPr>
          <w:rFonts w:hint="default" w:ascii="方正小标宋_GBK" w:hAnsi="方正小标宋_GBK" w:eastAsia="方正小标宋_GBK" w:cs="方正小标宋_GBK"/>
          <w:i w:val="0"/>
          <w:iCs w:val="0"/>
          <w:caps w:val="0"/>
          <w:color w:val="auto"/>
          <w:spacing w:val="0"/>
          <w:sz w:val="32"/>
          <w:szCs w:val="32"/>
          <w:shd w:val="clear" w:fill="FFFFFF"/>
          <w:lang w:val="en-US" w:eastAsia="zh-CN"/>
        </w:rPr>
      </w:pPr>
      <w:r>
        <w:rPr>
          <w:rFonts w:hint="default" w:ascii="方正小标宋_GBK" w:hAnsi="方正小标宋_GBK" w:eastAsia="方正小标宋_GBK" w:cs="方正小标宋_GBK"/>
          <w:i w:val="0"/>
          <w:iCs w:val="0"/>
          <w:caps w:val="0"/>
          <w:color w:val="auto"/>
          <w:spacing w:val="0"/>
          <w:sz w:val="32"/>
          <w:szCs w:val="32"/>
          <w:shd w:val="clear" w:fill="FFFFFF"/>
          <w:lang w:val="en-US" w:eastAsia="zh-CN"/>
        </w:rPr>
        <w:t>附件1-2</w:t>
      </w:r>
    </w:p>
    <w:p w14:paraId="70B8DE01">
      <w:pPr>
        <w:keepNext w:val="0"/>
        <w:keepLines w:val="0"/>
        <w:pageBreakBefore w:val="0"/>
        <w:widowControl/>
        <w:tabs>
          <w:tab w:val="left" w:pos="3611"/>
          <w:tab w:val="left" w:pos="4791"/>
          <w:tab w:val="left" w:pos="5951"/>
          <w:tab w:val="left" w:pos="7071"/>
          <w:tab w:val="left" w:pos="8191"/>
          <w:tab w:val="left" w:pos="9311"/>
        </w:tabs>
        <w:kinsoku/>
        <w:wordWrap/>
        <w:overflowPunct/>
        <w:topLinePunct w:val="0"/>
        <w:autoSpaceDE/>
        <w:autoSpaceDN/>
        <w:bidi w:val="0"/>
        <w:adjustRightInd/>
        <w:snapToGrid/>
        <w:spacing w:line="480" w:lineRule="exact"/>
        <w:ind w:left="91"/>
        <w:jc w:val="center"/>
        <w:textAlignment w:val="auto"/>
        <w:rPr>
          <w:rFonts w:hint="eastAsia" w:ascii="方正小标宋简体" w:hAnsi="方正小标宋简体" w:eastAsia="方正小标宋简体" w:cs="方正小标宋简体"/>
          <w:color w:val="auto"/>
          <w:kern w:val="0"/>
          <w:sz w:val="36"/>
          <w:szCs w:val="36"/>
          <w:lang w:val="en-US" w:eastAsia="zh-CN"/>
        </w:rPr>
      </w:pPr>
      <w:r>
        <w:rPr>
          <w:rFonts w:hint="eastAsia" w:ascii="方正小标宋简体" w:hAnsi="方正小标宋简体" w:eastAsia="方正小标宋简体" w:cs="方正小标宋简体"/>
          <w:color w:val="auto"/>
          <w:kern w:val="0"/>
          <w:sz w:val="36"/>
          <w:szCs w:val="36"/>
          <w:lang w:val="en-US" w:eastAsia="zh-CN"/>
        </w:rPr>
        <w:t>整体支出绩效自评表</w:t>
      </w:r>
    </w:p>
    <w:tbl>
      <w:tblPr>
        <w:tblStyle w:val="8"/>
        <w:tblW w:w="92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1"/>
        <w:gridCol w:w="1130"/>
        <w:gridCol w:w="1069"/>
        <w:gridCol w:w="1090"/>
        <w:gridCol w:w="78"/>
        <w:gridCol w:w="1108"/>
        <w:gridCol w:w="1121"/>
        <w:gridCol w:w="693"/>
        <w:gridCol w:w="716"/>
        <w:gridCol w:w="1136"/>
      </w:tblGrid>
      <w:tr w14:paraId="5A83F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jc w:val="center"/>
        </w:trPr>
        <w:tc>
          <w:tcPr>
            <w:tcW w:w="1121" w:type="dxa"/>
            <w:noWrap w:val="0"/>
            <w:vAlign w:val="center"/>
          </w:tcPr>
          <w:p w14:paraId="26D04B9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预算</w:t>
            </w:r>
            <w:r>
              <w:rPr>
                <w:rFonts w:hint="eastAsia" w:ascii="仿宋" w:hAnsi="仿宋" w:eastAsia="仿宋" w:cs="仿宋"/>
                <w:color w:val="auto"/>
                <w:kern w:val="0"/>
                <w:sz w:val="20"/>
                <w:szCs w:val="20"/>
                <w:lang w:val="en-US" w:eastAsia="zh-CN"/>
              </w:rPr>
              <w:t>单位</w:t>
            </w:r>
            <w:r>
              <w:rPr>
                <w:rFonts w:hint="eastAsia" w:ascii="仿宋" w:hAnsi="仿宋" w:eastAsia="仿宋" w:cs="仿宋"/>
                <w:color w:val="auto"/>
                <w:kern w:val="0"/>
                <w:sz w:val="20"/>
                <w:szCs w:val="20"/>
              </w:rPr>
              <w:t>名称</w:t>
            </w:r>
          </w:p>
        </w:tc>
        <w:tc>
          <w:tcPr>
            <w:tcW w:w="8141" w:type="dxa"/>
            <w:gridSpan w:val="9"/>
            <w:noWrap w:val="0"/>
            <w:vAlign w:val="center"/>
          </w:tcPr>
          <w:p w14:paraId="2C2A640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　</w:t>
            </w:r>
          </w:p>
        </w:tc>
      </w:tr>
      <w:tr w14:paraId="1A715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121" w:type="dxa"/>
            <w:vMerge w:val="restart"/>
            <w:noWrap w:val="0"/>
            <w:vAlign w:val="center"/>
          </w:tcPr>
          <w:p w14:paraId="4DC6C35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年度预</w:t>
            </w:r>
          </w:p>
          <w:p w14:paraId="612DAA7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eastAsia="zh-CN"/>
              </w:rPr>
            </w:pPr>
            <w:r>
              <w:rPr>
                <w:rFonts w:hint="eastAsia" w:ascii="仿宋" w:hAnsi="仿宋" w:eastAsia="仿宋" w:cs="仿宋"/>
                <w:color w:val="auto"/>
                <w:kern w:val="0"/>
                <w:sz w:val="20"/>
                <w:szCs w:val="20"/>
              </w:rPr>
              <w:t>算申请</w:t>
            </w:r>
          </w:p>
          <w:p w14:paraId="7F072E5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（万元）</w:t>
            </w:r>
          </w:p>
        </w:tc>
        <w:tc>
          <w:tcPr>
            <w:tcW w:w="2199" w:type="dxa"/>
            <w:gridSpan w:val="2"/>
            <w:noWrap w:val="0"/>
            <w:vAlign w:val="center"/>
          </w:tcPr>
          <w:p w14:paraId="744130A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sz w:val="20"/>
                <w:szCs w:val="20"/>
              </w:rPr>
            </w:pPr>
          </w:p>
        </w:tc>
        <w:tc>
          <w:tcPr>
            <w:tcW w:w="1168" w:type="dxa"/>
            <w:gridSpan w:val="2"/>
            <w:noWrap w:val="0"/>
            <w:vAlign w:val="center"/>
          </w:tcPr>
          <w:p w14:paraId="5319D31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sz w:val="20"/>
                <w:szCs w:val="20"/>
              </w:rPr>
            </w:pPr>
            <w:r>
              <w:rPr>
                <w:rFonts w:hint="eastAsia" w:ascii="仿宋" w:hAnsi="仿宋" w:eastAsia="仿宋" w:cs="仿宋"/>
                <w:color w:val="auto"/>
                <w:sz w:val="20"/>
                <w:szCs w:val="20"/>
              </w:rPr>
              <w:t>年初</w:t>
            </w:r>
          </w:p>
          <w:p w14:paraId="263C191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sz w:val="20"/>
                <w:szCs w:val="20"/>
              </w:rPr>
            </w:pPr>
            <w:r>
              <w:rPr>
                <w:rFonts w:hint="eastAsia" w:ascii="仿宋" w:hAnsi="仿宋" w:eastAsia="仿宋" w:cs="仿宋"/>
                <w:color w:val="auto"/>
                <w:sz w:val="20"/>
                <w:szCs w:val="20"/>
              </w:rPr>
              <w:t>预算数</w:t>
            </w:r>
          </w:p>
        </w:tc>
        <w:tc>
          <w:tcPr>
            <w:tcW w:w="1108" w:type="dxa"/>
            <w:noWrap w:val="0"/>
            <w:vAlign w:val="center"/>
          </w:tcPr>
          <w:p w14:paraId="6FD9DF0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sz w:val="20"/>
                <w:szCs w:val="20"/>
              </w:rPr>
            </w:pPr>
            <w:r>
              <w:rPr>
                <w:rFonts w:hint="eastAsia" w:ascii="仿宋" w:hAnsi="仿宋" w:eastAsia="仿宋" w:cs="仿宋"/>
                <w:color w:val="auto"/>
                <w:sz w:val="20"/>
                <w:szCs w:val="20"/>
              </w:rPr>
              <w:t>全年预算数</w:t>
            </w:r>
          </w:p>
        </w:tc>
        <w:tc>
          <w:tcPr>
            <w:tcW w:w="1121" w:type="dxa"/>
            <w:noWrap w:val="0"/>
            <w:vAlign w:val="center"/>
          </w:tcPr>
          <w:p w14:paraId="3FAAB0B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sz w:val="20"/>
                <w:szCs w:val="20"/>
              </w:rPr>
            </w:pPr>
            <w:r>
              <w:rPr>
                <w:rFonts w:hint="eastAsia" w:ascii="仿宋" w:hAnsi="仿宋" w:eastAsia="仿宋" w:cs="仿宋"/>
                <w:color w:val="auto"/>
                <w:sz w:val="20"/>
                <w:szCs w:val="20"/>
              </w:rPr>
              <w:t>全年</w:t>
            </w:r>
          </w:p>
          <w:p w14:paraId="124E9AF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sz w:val="20"/>
                <w:szCs w:val="20"/>
              </w:rPr>
            </w:pPr>
            <w:r>
              <w:rPr>
                <w:rFonts w:hint="eastAsia" w:ascii="仿宋" w:hAnsi="仿宋" w:eastAsia="仿宋" w:cs="仿宋"/>
                <w:color w:val="auto"/>
                <w:sz w:val="20"/>
                <w:szCs w:val="20"/>
              </w:rPr>
              <w:t>执行数</w:t>
            </w:r>
          </w:p>
        </w:tc>
        <w:tc>
          <w:tcPr>
            <w:tcW w:w="693" w:type="dxa"/>
            <w:noWrap w:val="0"/>
            <w:vAlign w:val="center"/>
          </w:tcPr>
          <w:p w14:paraId="4F94B58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sz w:val="20"/>
                <w:szCs w:val="20"/>
              </w:rPr>
            </w:pPr>
            <w:r>
              <w:rPr>
                <w:rFonts w:hint="eastAsia" w:ascii="仿宋" w:hAnsi="仿宋" w:eastAsia="仿宋" w:cs="仿宋"/>
                <w:color w:val="auto"/>
                <w:sz w:val="20"/>
                <w:szCs w:val="20"/>
              </w:rPr>
              <w:t>分值</w:t>
            </w:r>
          </w:p>
        </w:tc>
        <w:tc>
          <w:tcPr>
            <w:tcW w:w="716" w:type="dxa"/>
            <w:noWrap w:val="0"/>
            <w:vAlign w:val="center"/>
          </w:tcPr>
          <w:p w14:paraId="5919AD1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sz w:val="20"/>
                <w:szCs w:val="20"/>
              </w:rPr>
            </w:pPr>
            <w:r>
              <w:rPr>
                <w:rFonts w:hint="eastAsia" w:ascii="仿宋" w:hAnsi="仿宋" w:eastAsia="仿宋" w:cs="仿宋"/>
                <w:color w:val="auto"/>
                <w:sz w:val="20"/>
                <w:szCs w:val="20"/>
              </w:rPr>
              <w:t>执行率</w:t>
            </w:r>
          </w:p>
        </w:tc>
        <w:tc>
          <w:tcPr>
            <w:tcW w:w="1136" w:type="dxa"/>
            <w:noWrap w:val="0"/>
            <w:vAlign w:val="center"/>
          </w:tcPr>
          <w:p w14:paraId="37AB004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sz w:val="20"/>
                <w:szCs w:val="20"/>
              </w:rPr>
            </w:pPr>
            <w:r>
              <w:rPr>
                <w:rFonts w:hint="eastAsia" w:ascii="仿宋" w:hAnsi="仿宋" w:eastAsia="仿宋" w:cs="仿宋"/>
                <w:color w:val="auto"/>
                <w:sz w:val="20"/>
                <w:szCs w:val="20"/>
              </w:rPr>
              <w:t>得分</w:t>
            </w:r>
          </w:p>
        </w:tc>
      </w:tr>
      <w:tr w14:paraId="57946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25BA0DA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2199" w:type="dxa"/>
            <w:gridSpan w:val="2"/>
            <w:noWrap w:val="0"/>
            <w:vAlign w:val="center"/>
          </w:tcPr>
          <w:p w14:paraId="3715A18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sz w:val="20"/>
                <w:szCs w:val="20"/>
              </w:rPr>
            </w:pPr>
            <w:r>
              <w:rPr>
                <w:rFonts w:hint="eastAsia" w:ascii="仿宋" w:hAnsi="仿宋" w:eastAsia="仿宋" w:cs="仿宋"/>
                <w:color w:val="auto"/>
                <w:kern w:val="0"/>
                <w:sz w:val="20"/>
                <w:szCs w:val="20"/>
              </w:rPr>
              <w:t>年度资金总额</w:t>
            </w:r>
          </w:p>
        </w:tc>
        <w:tc>
          <w:tcPr>
            <w:tcW w:w="1168" w:type="dxa"/>
            <w:gridSpan w:val="2"/>
            <w:noWrap w:val="0"/>
            <w:vAlign w:val="center"/>
          </w:tcPr>
          <w:p w14:paraId="4CC8887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15736.90</w:t>
            </w:r>
          </w:p>
        </w:tc>
        <w:tc>
          <w:tcPr>
            <w:tcW w:w="1108" w:type="dxa"/>
            <w:noWrap w:val="0"/>
            <w:vAlign w:val="center"/>
          </w:tcPr>
          <w:p w14:paraId="67AF9D5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5686.48</w:t>
            </w:r>
          </w:p>
        </w:tc>
        <w:tc>
          <w:tcPr>
            <w:tcW w:w="1121" w:type="dxa"/>
            <w:noWrap w:val="0"/>
            <w:vAlign w:val="center"/>
          </w:tcPr>
          <w:p w14:paraId="1C2D09F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5686.48</w:t>
            </w:r>
          </w:p>
        </w:tc>
        <w:tc>
          <w:tcPr>
            <w:tcW w:w="693" w:type="dxa"/>
            <w:noWrap w:val="0"/>
            <w:vAlign w:val="center"/>
          </w:tcPr>
          <w:p w14:paraId="44C6279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sz w:val="20"/>
                <w:szCs w:val="20"/>
              </w:rPr>
            </w:pPr>
            <w:r>
              <w:rPr>
                <w:rFonts w:hint="eastAsia" w:ascii="仿宋" w:hAnsi="仿宋" w:eastAsia="仿宋" w:cs="仿宋"/>
                <w:color w:val="auto"/>
                <w:sz w:val="20"/>
                <w:szCs w:val="20"/>
              </w:rPr>
              <w:t>10</w:t>
            </w:r>
          </w:p>
        </w:tc>
        <w:tc>
          <w:tcPr>
            <w:tcW w:w="716" w:type="dxa"/>
            <w:noWrap w:val="0"/>
            <w:vAlign w:val="center"/>
          </w:tcPr>
          <w:p w14:paraId="1D87912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100%</w:t>
            </w:r>
          </w:p>
        </w:tc>
        <w:tc>
          <w:tcPr>
            <w:tcW w:w="1136" w:type="dxa"/>
            <w:noWrap w:val="0"/>
            <w:vAlign w:val="center"/>
          </w:tcPr>
          <w:p w14:paraId="436BF05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sz w:val="20"/>
                <w:szCs w:val="20"/>
              </w:rPr>
            </w:pPr>
          </w:p>
        </w:tc>
      </w:tr>
      <w:tr w14:paraId="5E41E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148880C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4475" w:type="dxa"/>
            <w:gridSpan w:val="5"/>
            <w:noWrap w:val="0"/>
            <w:vAlign w:val="center"/>
          </w:tcPr>
          <w:p w14:paraId="66CF359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rPr>
              <w:t>按收入性质分：</w:t>
            </w:r>
          </w:p>
        </w:tc>
        <w:tc>
          <w:tcPr>
            <w:tcW w:w="3666" w:type="dxa"/>
            <w:gridSpan w:val="4"/>
            <w:noWrap w:val="0"/>
            <w:vAlign w:val="center"/>
          </w:tcPr>
          <w:p w14:paraId="2DF453C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按支出性质分：</w:t>
            </w:r>
          </w:p>
        </w:tc>
      </w:tr>
      <w:tr w14:paraId="23319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38DD9A5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4475" w:type="dxa"/>
            <w:gridSpan w:val="5"/>
            <w:noWrap w:val="0"/>
            <w:vAlign w:val="center"/>
          </w:tcPr>
          <w:p w14:paraId="7499A27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rPr>
              <w:t xml:space="preserve">  其中：  一般公共预算：</w:t>
            </w:r>
            <w:r>
              <w:rPr>
                <w:rFonts w:hint="eastAsia" w:ascii="仿宋" w:hAnsi="仿宋" w:eastAsia="仿宋" w:cs="仿宋"/>
                <w:color w:val="auto"/>
                <w:kern w:val="0"/>
                <w:sz w:val="20"/>
                <w:szCs w:val="20"/>
                <w:lang w:val="en-US" w:eastAsia="zh-CN"/>
              </w:rPr>
              <w:t>4775.54</w:t>
            </w:r>
          </w:p>
        </w:tc>
        <w:tc>
          <w:tcPr>
            <w:tcW w:w="3666" w:type="dxa"/>
            <w:gridSpan w:val="4"/>
            <w:noWrap w:val="0"/>
            <w:vAlign w:val="center"/>
          </w:tcPr>
          <w:p w14:paraId="1AB0727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rPr>
              <w:t>其中：基本支出：</w:t>
            </w:r>
            <w:r>
              <w:rPr>
                <w:rFonts w:hint="eastAsia" w:ascii="仿宋" w:hAnsi="仿宋" w:eastAsia="仿宋" w:cs="仿宋"/>
                <w:color w:val="auto"/>
                <w:kern w:val="0"/>
                <w:sz w:val="20"/>
                <w:szCs w:val="20"/>
                <w:lang w:val="en-US" w:eastAsia="zh-CN"/>
              </w:rPr>
              <w:t>2549.03</w:t>
            </w:r>
          </w:p>
        </w:tc>
      </w:tr>
      <w:tr w14:paraId="19E33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41F9048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4475" w:type="dxa"/>
            <w:gridSpan w:val="5"/>
            <w:noWrap w:val="0"/>
            <w:vAlign w:val="center"/>
          </w:tcPr>
          <w:p w14:paraId="051223E0">
            <w:pPr>
              <w:keepNext w:val="0"/>
              <w:keepLines w:val="0"/>
              <w:pageBreakBefore w:val="0"/>
              <w:widowControl/>
              <w:kinsoku/>
              <w:wordWrap/>
              <w:overflowPunct/>
              <w:topLinePunct w:val="0"/>
              <w:autoSpaceDE/>
              <w:autoSpaceDN/>
              <w:bidi w:val="0"/>
              <w:adjustRightInd/>
              <w:snapToGrid/>
              <w:spacing w:line="240" w:lineRule="exact"/>
              <w:ind w:firstLine="800" w:firstLineChars="400"/>
              <w:jc w:val="left"/>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政府性基金拨款：</w:t>
            </w:r>
          </w:p>
        </w:tc>
        <w:tc>
          <w:tcPr>
            <w:tcW w:w="3666" w:type="dxa"/>
            <w:gridSpan w:val="4"/>
            <w:noWrap w:val="0"/>
            <w:vAlign w:val="center"/>
          </w:tcPr>
          <w:p w14:paraId="059A8299">
            <w:pPr>
              <w:keepNext w:val="0"/>
              <w:keepLines w:val="0"/>
              <w:pageBreakBefore w:val="0"/>
              <w:widowControl/>
              <w:kinsoku/>
              <w:wordWrap/>
              <w:overflowPunct/>
              <w:topLinePunct w:val="0"/>
              <w:autoSpaceDE/>
              <w:autoSpaceDN/>
              <w:bidi w:val="0"/>
              <w:adjustRightInd/>
              <w:snapToGrid/>
              <w:spacing w:line="240" w:lineRule="exact"/>
              <w:ind w:firstLine="600" w:firstLineChars="300"/>
              <w:jc w:val="left"/>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rPr>
              <w:t>项目支出：</w:t>
            </w:r>
            <w:r>
              <w:rPr>
                <w:rFonts w:hint="eastAsia" w:ascii="仿宋" w:hAnsi="仿宋" w:eastAsia="仿宋" w:cs="仿宋"/>
                <w:color w:val="auto"/>
                <w:kern w:val="0"/>
                <w:sz w:val="20"/>
                <w:szCs w:val="20"/>
                <w:lang w:val="en-US" w:eastAsia="zh-CN"/>
              </w:rPr>
              <w:t>3137.45</w:t>
            </w:r>
          </w:p>
        </w:tc>
      </w:tr>
      <w:tr w14:paraId="54C61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18DAF31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4475" w:type="dxa"/>
            <w:gridSpan w:val="5"/>
            <w:noWrap w:val="0"/>
            <w:vAlign w:val="center"/>
          </w:tcPr>
          <w:p w14:paraId="159DA48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纳入专户管理的非税收入拨款：</w:t>
            </w:r>
          </w:p>
        </w:tc>
        <w:tc>
          <w:tcPr>
            <w:tcW w:w="3666" w:type="dxa"/>
            <w:gridSpan w:val="4"/>
            <w:noWrap w:val="0"/>
            <w:vAlign w:val="center"/>
          </w:tcPr>
          <w:p w14:paraId="6D919A8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r>
      <w:tr w14:paraId="62D12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1121" w:type="dxa"/>
            <w:vMerge w:val="continue"/>
            <w:noWrap w:val="0"/>
            <w:vAlign w:val="center"/>
          </w:tcPr>
          <w:p w14:paraId="1722D327">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4475" w:type="dxa"/>
            <w:gridSpan w:val="5"/>
            <w:noWrap w:val="0"/>
            <w:vAlign w:val="center"/>
          </w:tcPr>
          <w:p w14:paraId="0EE00403">
            <w:pPr>
              <w:keepNext w:val="0"/>
              <w:keepLines w:val="0"/>
              <w:pageBreakBefore w:val="0"/>
              <w:widowControl/>
              <w:kinsoku/>
              <w:wordWrap/>
              <w:overflowPunct/>
              <w:topLinePunct w:val="0"/>
              <w:autoSpaceDE/>
              <w:autoSpaceDN/>
              <w:bidi w:val="0"/>
              <w:adjustRightInd/>
              <w:snapToGrid/>
              <w:spacing w:line="240" w:lineRule="exact"/>
              <w:ind w:firstLine="1400" w:firstLineChars="700"/>
              <w:jc w:val="left"/>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rPr>
              <w:t>其他资金：</w:t>
            </w:r>
            <w:r>
              <w:rPr>
                <w:rFonts w:hint="eastAsia" w:ascii="仿宋" w:hAnsi="仿宋" w:eastAsia="仿宋" w:cs="仿宋"/>
                <w:color w:val="auto"/>
                <w:kern w:val="0"/>
                <w:sz w:val="20"/>
                <w:szCs w:val="20"/>
                <w:lang w:val="en-US" w:eastAsia="zh-CN"/>
              </w:rPr>
              <w:t>910.94</w:t>
            </w:r>
          </w:p>
        </w:tc>
        <w:tc>
          <w:tcPr>
            <w:tcW w:w="3666" w:type="dxa"/>
            <w:gridSpan w:val="4"/>
            <w:noWrap w:val="0"/>
            <w:vAlign w:val="center"/>
          </w:tcPr>
          <w:p w14:paraId="1262D45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r>
      <w:tr w14:paraId="4EED0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restart"/>
            <w:noWrap w:val="0"/>
            <w:vAlign w:val="center"/>
          </w:tcPr>
          <w:p w14:paraId="5D605FA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年度总体目标</w:t>
            </w:r>
          </w:p>
        </w:tc>
        <w:tc>
          <w:tcPr>
            <w:tcW w:w="4475" w:type="dxa"/>
            <w:gridSpan w:val="5"/>
            <w:noWrap w:val="0"/>
            <w:vAlign w:val="center"/>
          </w:tcPr>
          <w:p w14:paraId="6AB38F7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预期目标</w:t>
            </w:r>
          </w:p>
        </w:tc>
        <w:tc>
          <w:tcPr>
            <w:tcW w:w="3666" w:type="dxa"/>
            <w:gridSpan w:val="4"/>
            <w:noWrap w:val="0"/>
            <w:vAlign w:val="center"/>
          </w:tcPr>
          <w:p w14:paraId="0585ADE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实际完成情况　</w:t>
            </w:r>
          </w:p>
        </w:tc>
      </w:tr>
      <w:tr w14:paraId="35F41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 w:hRule="atLeast"/>
          <w:jc w:val="center"/>
        </w:trPr>
        <w:tc>
          <w:tcPr>
            <w:tcW w:w="1121" w:type="dxa"/>
            <w:vMerge w:val="continue"/>
            <w:noWrap w:val="0"/>
            <w:vAlign w:val="center"/>
          </w:tcPr>
          <w:p w14:paraId="4B42B44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4475" w:type="dxa"/>
            <w:gridSpan w:val="5"/>
            <w:noWrap w:val="0"/>
            <w:vAlign w:val="center"/>
          </w:tcPr>
          <w:p w14:paraId="0F5E0E1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lang w:val="en-US" w:eastAsia="zh-CN"/>
              </w:rPr>
              <w:t>坚持以习近平新时代中国特色社会主义思想为指导，坚定社会主义办学方向，贯彻党的教育方针，以立德树人为根本，以服务发展为宗旨，以促进就业为导向。按照“以人为本，严谨治校，德育为先，多彩发展，校企合作，专精技能，开拓创新，提升内涵”的办学理念，根据“依托市场办专业、办好专业兴产业、兴旺产业促就业”的办学思路，坚持产教融合、校企合作，工学结合、知行合一，培养爱岗敬业、诚实守信，具有社会责任感、实践能力和创新精神的高素质劳动者和技术技能型应用人才。紧紧围绕楚怡校改扩建中心工作和创建怀化工商职业技术学院中心任务，创建片区引领、省内先进的卓越中等职业学校。</w:t>
            </w:r>
          </w:p>
        </w:tc>
        <w:tc>
          <w:tcPr>
            <w:tcW w:w="3666" w:type="dxa"/>
            <w:gridSpan w:val="4"/>
            <w:noWrap w:val="0"/>
            <w:vAlign w:val="center"/>
          </w:tcPr>
          <w:p w14:paraId="3FBCCC1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　</w:t>
            </w:r>
            <w:r>
              <w:rPr>
                <w:rFonts w:hint="eastAsia" w:ascii="仿宋" w:hAnsi="仿宋" w:eastAsia="仿宋" w:cs="仿宋"/>
                <w:color w:val="auto"/>
                <w:kern w:val="0"/>
                <w:sz w:val="20"/>
                <w:szCs w:val="20"/>
                <w:lang w:val="en-US" w:eastAsia="zh-CN"/>
              </w:rPr>
              <w:t>1.</w:t>
            </w:r>
            <w:r>
              <w:rPr>
                <w:rFonts w:hint="eastAsia" w:ascii="仿宋" w:hAnsi="仿宋" w:eastAsia="仿宋" w:cs="仿宋"/>
                <w:color w:val="auto"/>
                <w:kern w:val="0"/>
                <w:sz w:val="20"/>
                <w:szCs w:val="20"/>
              </w:rPr>
              <w:t>创新思想政治教育教学模式。学校省级思想政治课教学团队以提升思政教师专业素养和教学水平为核心，以教育教研为先导，以课堂教学为主要阵地，围绕“立德树人”根本任务，深入学习贯彻习近平总书记关于思想政治课系列讲话精神，深刻把握“八个相统一”原则，推进“三全育人”，深化新时代中职学校思政课程建设与创新，在教学内容上突出创新、丰富思政课程资源，集中优势师资力量和资源开发建设两门省级精品课程。目前，曾星副教授主讲课程《习近平话语风格新时代魅力华章》入选湖南省干部教育培训“三百工程”精品课程，团队建设成1个省级重点课题，完成1个省级思政教学团队建设任务，1个省级在线优质精品课程《心理健康与职业生涯》完成结题，1个省级在线优质精品课程《哲学与人生》在建。2023年全国职业院校技能大赛德育与思想政治教育现场赛决赛——《哲学与人生》，邓耀东、瞿丽芝、石晓航与湖南交通职院刘悦丹教授合作在2023年全国职业院校技能大赛德育与思想政治教育教学能力比赛中获得国赛二等奖的突出成绩，</w:t>
            </w:r>
          </w:p>
          <w:p w14:paraId="7C4463D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2.扎实推进教研教改走深走实。建设高水平专业群。学校申报成功湖南省双优中职校A档校，机电技术应用专业群和数字媒体技术应用专业群为省级优质专业群，充分发挥了学校重点建设专业牵头专业的优质专业群。思想政治教学团队、数字媒体技术应用专业教学团队、机电技术应用专业教学团队圆满完成省级专业教学团队建设任务，建设成果已上报湖南省教育厅。电子商务专业申报成功湖南省楚怡教师教学创新团队1个，申报成功湖南省楚怡名师工作室1个，申报成功湖南省楚怡名师1个，申报成功湖南省楚怡工坊1个。课程资源开发综合排名全省第一。省级中等职业教育精品在线开放课程我校立项11门课程，排名全省第一。机电技术应用专业群申报成功2023 年湖南省职业教育专业（群）教学资源库建设项目，为全省2023年度2个中职省级教学资源库之一。推进工学一体化改革。学校多媒体制作专业团队完成国家技能人才培养工学一体化课程设置方案和课程标准的建设任务，国家标准验收通过并正式公开发行。创建优质课题。学校申报成功5门省级课题。3.以赛促教、以赛促改、以赛促学。承办多项赛事。学校承办了2023年“楚怡杯”湖南省职业院校技能竞赛中职组“智能家居安装与维护”竞赛；由市人社局、市总工会、团市委联合举办的怀化市首届“五溪工匠杯”职业技能大赛，我校承办CAD机械设计、数控铣、数控车、车身修理共4个赛项；2024年怀化市“珈汇杯”中等职业学校技能竞赛暨湖南省职业院校技能竞赛，我校承办现代加工技术赛项和汽车维修两个赛项。师生竞赛成绩突出。在全国职业院校技能大赛教学能力竞赛上，我校获得国赛一等奖2个，国赛二等奖1个，省赛一等奖4个，省赛二等奖3个，省赛三等奖2个。在2023年湖南省职业院校技能竞赛上，我校获得省赛一等奖1个，省赛二等奖4个，省赛三等奖4个。由市人社局、市总工会、团市委联合举办的怀化市首届“五溪工匠杯”职业技能大赛中，我校5位参赛选手，荣获一等奖2个、二等奖1个、三等奖2个；学校荣获特殊贡献奖；3名教师获优秀裁判员奖；1名教师获优秀工作者奖。</w:t>
            </w:r>
          </w:p>
          <w:p w14:paraId="0EF78F0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4.创新中职特色的基于云平台的信息化教学。基于云平台的教学资源开发与应用，提升教学效率，优化教学评价。学校已结题5门省级优质精品课程，在建12个在线优质精品课程，在建1个省级教学资源库，在建国家职业教育智慧教育平台资源试点校。大量的省级以上精品教学资源，优化的基于云平台的大数据创新评价极大地提升了教学效率，激发了学生的学习兴趣。</w:t>
            </w:r>
          </w:p>
        </w:tc>
      </w:tr>
      <w:tr w14:paraId="5CB96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121" w:type="dxa"/>
            <w:vMerge w:val="restart"/>
            <w:noWrap w:val="0"/>
            <w:vAlign w:val="center"/>
          </w:tcPr>
          <w:p w14:paraId="389750F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绩</w:t>
            </w:r>
          </w:p>
          <w:p w14:paraId="21EDA93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效</w:t>
            </w:r>
          </w:p>
          <w:p w14:paraId="3B39CC3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指</w:t>
            </w:r>
          </w:p>
          <w:p w14:paraId="0AC55B8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标</w:t>
            </w:r>
          </w:p>
        </w:tc>
        <w:tc>
          <w:tcPr>
            <w:tcW w:w="1130" w:type="dxa"/>
            <w:noWrap w:val="0"/>
            <w:vAlign w:val="center"/>
          </w:tcPr>
          <w:p w14:paraId="3730943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一级指标</w:t>
            </w:r>
          </w:p>
        </w:tc>
        <w:tc>
          <w:tcPr>
            <w:tcW w:w="1069" w:type="dxa"/>
            <w:noWrap w:val="0"/>
            <w:vAlign w:val="center"/>
          </w:tcPr>
          <w:p w14:paraId="315204A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二级指标</w:t>
            </w:r>
          </w:p>
        </w:tc>
        <w:tc>
          <w:tcPr>
            <w:tcW w:w="1090" w:type="dxa"/>
            <w:noWrap w:val="0"/>
            <w:vAlign w:val="center"/>
          </w:tcPr>
          <w:p w14:paraId="358E41F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三级指标</w:t>
            </w:r>
          </w:p>
        </w:tc>
        <w:tc>
          <w:tcPr>
            <w:tcW w:w="1186" w:type="dxa"/>
            <w:gridSpan w:val="2"/>
            <w:noWrap w:val="0"/>
            <w:vAlign w:val="center"/>
          </w:tcPr>
          <w:p w14:paraId="1F14C88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年度</w:t>
            </w:r>
          </w:p>
          <w:p w14:paraId="462CB7E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指标值</w:t>
            </w:r>
          </w:p>
        </w:tc>
        <w:tc>
          <w:tcPr>
            <w:tcW w:w="1121" w:type="dxa"/>
            <w:noWrap w:val="0"/>
            <w:vAlign w:val="center"/>
          </w:tcPr>
          <w:p w14:paraId="3B51202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实际</w:t>
            </w:r>
          </w:p>
          <w:p w14:paraId="7420A94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完成值</w:t>
            </w:r>
          </w:p>
        </w:tc>
        <w:tc>
          <w:tcPr>
            <w:tcW w:w="693" w:type="dxa"/>
            <w:noWrap w:val="0"/>
            <w:vAlign w:val="center"/>
          </w:tcPr>
          <w:p w14:paraId="5611530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分值</w:t>
            </w:r>
          </w:p>
        </w:tc>
        <w:tc>
          <w:tcPr>
            <w:tcW w:w="716" w:type="dxa"/>
            <w:noWrap w:val="0"/>
            <w:vAlign w:val="center"/>
          </w:tcPr>
          <w:p w14:paraId="7F2C314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得分</w:t>
            </w:r>
          </w:p>
        </w:tc>
        <w:tc>
          <w:tcPr>
            <w:tcW w:w="1136" w:type="dxa"/>
            <w:noWrap w:val="0"/>
            <w:vAlign w:val="top"/>
          </w:tcPr>
          <w:p w14:paraId="72E61C1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偏差原因</w:t>
            </w:r>
          </w:p>
          <w:p w14:paraId="5E77926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分析及</w:t>
            </w:r>
          </w:p>
          <w:p w14:paraId="6DE9C15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改进措施</w:t>
            </w:r>
          </w:p>
        </w:tc>
      </w:tr>
      <w:tr w14:paraId="00D6F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758E871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restart"/>
            <w:noWrap w:val="0"/>
            <w:vAlign w:val="center"/>
          </w:tcPr>
          <w:p w14:paraId="5EA9B1B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vMerge w:val="restart"/>
            <w:noWrap w:val="0"/>
            <w:vAlign w:val="center"/>
          </w:tcPr>
          <w:p w14:paraId="3CA0C6F5">
            <w:pPr>
              <w:keepNext w:val="0"/>
              <w:keepLines w:val="0"/>
              <w:pageBreakBefore w:val="0"/>
              <w:widowControl/>
              <w:kinsoku/>
              <w:wordWrap/>
              <w:overflowPunct/>
              <w:topLinePunct w:val="0"/>
              <w:autoSpaceDE/>
              <w:autoSpaceDN/>
              <w:bidi w:val="0"/>
              <w:adjustRightInd/>
              <w:snapToGrid/>
              <w:spacing w:line="240" w:lineRule="exact"/>
              <w:ind w:firstLine="200" w:firstLineChars="100"/>
              <w:jc w:val="both"/>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数量</w:t>
            </w:r>
          </w:p>
          <w:p w14:paraId="6F97C8B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指标</w:t>
            </w:r>
          </w:p>
        </w:tc>
        <w:tc>
          <w:tcPr>
            <w:tcW w:w="1090" w:type="dxa"/>
            <w:noWrap w:val="0"/>
            <w:vAlign w:val="center"/>
          </w:tcPr>
          <w:p w14:paraId="030C77DF">
            <w:pPr>
              <w:widowControl/>
              <w:jc w:val="center"/>
              <w:rPr>
                <w:rFonts w:hint="eastAsia" w:ascii="仿宋" w:hAnsi="仿宋" w:eastAsia="仿宋" w:cs="仿宋"/>
                <w:b w:val="0"/>
                <w:bCs w:val="0"/>
                <w:color w:val="auto"/>
                <w:kern w:val="0"/>
                <w:sz w:val="20"/>
                <w:szCs w:val="20"/>
                <w:lang w:val="en-US" w:eastAsia="zh-CN" w:bidi="ar-SA"/>
              </w:rPr>
            </w:pPr>
            <w:r>
              <w:rPr>
                <w:rFonts w:hint="eastAsia" w:ascii="仿宋" w:hAnsi="仿宋" w:eastAsia="仿宋" w:cs="仿宋"/>
                <w:color w:val="auto"/>
                <w:kern w:val="0"/>
                <w:sz w:val="20"/>
                <w:szCs w:val="20"/>
                <w:lang w:val="en-US" w:eastAsia="zh-CN"/>
              </w:rPr>
              <w:t>团队建设成个省级重点课题</w:t>
            </w:r>
          </w:p>
        </w:tc>
        <w:tc>
          <w:tcPr>
            <w:tcW w:w="1186" w:type="dxa"/>
            <w:gridSpan w:val="2"/>
            <w:noWrap w:val="0"/>
            <w:vAlign w:val="center"/>
          </w:tcPr>
          <w:p w14:paraId="27DC5E8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1个</w:t>
            </w:r>
          </w:p>
        </w:tc>
        <w:tc>
          <w:tcPr>
            <w:tcW w:w="1121" w:type="dxa"/>
            <w:noWrap w:val="0"/>
            <w:vAlign w:val="center"/>
          </w:tcPr>
          <w:p w14:paraId="0F13E46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1个</w:t>
            </w:r>
          </w:p>
        </w:tc>
        <w:tc>
          <w:tcPr>
            <w:tcW w:w="693" w:type="dxa"/>
            <w:noWrap w:val="0"/>
            <w:vAlign w:val="center"/>
          </w:tcPr>
          <w:p w14:paraId="71380B2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716" w:type="dxa"/>
            <w:noWrap w:val="0"/>
            <w:vAlign w:val="center"/>
          </w:tcPr>
          <w:p w14:paraId="3F688BC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1136" w:type="dxa"/>
            <w:noWrap w:val="0"/>
            <w:vAlign w:val="center"/>
          </w:tcPr>
          <w:p w14:paraId="3E9B469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　</w:t>
            </w:r>
          </w:p>
        </w:tc>
      </w:tr>
      <w:tr w14:paraId="3BEFE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121" w:type="dxa"/>
            <w:vMerge w:val="continue"/>
            <w:noWrap w:val="0"/>
            <w:vAlign w:val="center"/>
          </w:tcPr>
          <w:p w14:paraId="55FEA6B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continue"/>
            <w:noWrap w:val="0"/>
            <w:vAlign w:val="center"/>
          </w:tcPr>
          <w:p w14:paraId="40BF723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vMerge w:val="continue"/>
            <w:noWrap w:val="0"/>
            <w:vAlign w:val="center"/>
          </w:tcPr>
          <w:p w14:paraId="4F8F65D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090" w:type="dxa"/>
            <w:noWrap w:val="0"/>
            <w:vAlign w:val="center"/>
          </w:tcPr>
          <w:p w14:paraId="36811A8A">
            <w:pPr>
              <w:widowControl/>
              <w:jc w:val="center"/>
              <w:rPr>
                <w:rFonts w:hint="eastAsia" w:ascii="仿宋" w:hAnsi="仿宋" w:eastAsia="仿宋" w:cs="仿宋"/>
                <w:b w:val="0"/>
                <w:bCs w:val="0"/>
                <w:color w:val="auto"/>
                <w:kern w:val="0"/>
                <w:sz w:val="20"/>
                <w:szCs w:val="20"/>
                <w:lang w:val="en-US" w:eastAsia="zh-CN" w:bidi="ar-SA"/>
              </w:rPr>
            </w:pPr>
            <w:r>
              <w:rPr>
                <w:rFonts w:hint="eastAsia" w:ascii="仿宋" w:hAnsi="仿宋" w:eastAsia="仿宋" w:cs="仿宋"/>
                <w:color w:val="auto"/>
                <w:kern w:val="0"/>
                <w:sz w:val="20"/>
                <w:szCs w:val="20"/>
                <w:lang w:val="en-US" w:eastAsia="zh-CN"/>
              </w:rPr>
              <w:t>省级思政教学团队建设任务</w:t>
            </w:r>
          </w:p>
        </w:tc>
        <w:tc>
          <w:tcPr>
            <w:tcW w:w="1186" w:type="dxa"/>
            <w:gridSpan w:val="2"/>
            <w:noWrap w:val="0"/>
            <w:vAlign w:val="center"/>
          </w:tcPr>
          <w:p w14:paraId="5234A28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1个</w:t>
            </w:r>
          </w:p>
        </w:tc>
        <w:tc>
          <w:tcPr>
            <w:tcW w:w="1121" w:type="dxa"/>
            <w:noWrap w:val="0"/>
            <w:vAlign w:val="center"/>
          </w:tcPr>
          <w:p w14:paraId="208459F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1个</w:t>
            </w:r>
          </w:p>
        </w:tc>
        <w:tc>
          <w:tcPr>
            <w:tcW w:w="693" w:type="dxa"/>
            <w:noWrap w:val="0"/>
            <w:vAlign w:val="center"/>
          </w:tcPr>
          <w:p w14:paraId="6927211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716" w:type="dxa"/>
            <w:noWrap w:val="0"/>
            <w:vAlign w:val="center"/>
          </w:tcPr>
          <w:p w14:paraId="00FC80C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1136" w:type="dxa"/>
            <w:noWrap w:val="0"/>
            <w:vAlign w:val="center"/>
          </w:tcPr>
          <w:p w14:paraId="26939B73">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　</w:t>
            </w:r>
          </w:p>
        </w:tc>
      </w:tr>
      <w:tr w14:paraId="022EF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2A740ED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continue"/>
            <w:noWrap w:val="0"/>
            <w:vAlign w:val="center"/>
          </w:tcPr>
          <w:p w14:paraId="4078B30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vMerge w:val="continue"/>
            <w:noWrap w:val="0"/>
            <w:vAlign w:val="center"/>
          </w:tcPr>
          <w:p w14:paraId="23319F4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090" w:type="dxa"/>
            <w:noWrap w:val="0"/>
            <w:vAlign w:val="center"/>
          </w:tcPr>
          <w:p w14:paraId="5CC0F5B8">
            <w:pPr>
              <w:widowControl/>
              <w:jc w:val="center"/>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省级在线优质精品课程</w:t>
            </w:r>
          </w:p>
        </w:tc>
        <w:tc>
          <w:tcPr>
            <w:tcW w:w="1186" w:type="dxa"/>
            <w:gridSpan w:val="2"/>
            <w:noWrap w:val="0"/>
            <w:vAlign w:val="center"/>
          </w:tcPr>
          <w:p w14:paraId="65AD187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1个</w:t>
            </w:r>
          </w:p>
        </w:tc>
        <w:tc>
          <w:tcPr>
            <w:tcW w:w="1121" w:type="dxa"/>
            <w:noWrap w:val="0"/>
            <w:vAlign w:val="center"/>
          </w:tcPr>
          <w:p w14:paraId="17A9686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1个</w:t>
            </w:r>
          </w:p>
        </w:tc>
        <w:tc>
          <w:tcPr>
            <w:tcW w:w="693" w:type="dxa"/>
            <w:noWrap w:val="0"/>
            <w:vAlign w:val="center"/>
          </w:tcPr>
          <w:p w14:paraId="2D34B57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716" w:type="dxa"/>
            <w:noWrap w:val="0"/>
            <w:vAlign w:val="center"/>
          </w:tcPr>
          <w:p w14:paraId="45E2C00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1136" w:type="dxa"/>
            <w:noWrap w:val="0"/>
            <w:vAlign w:val="center"/>
          </w:tcPr>
          <w:p w14:paraId="6CADE62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r>
      <w:tr w14:paraId="45434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2D79FB8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continue"/>
            <w:noWrap w:val="0"/>
            <w:vAlign w:val="center"/>
          </w:tcPr>
          <w:p w14:paraId="69A8E2F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vMerge w:val="continue"/>
            <w:noWrap w:val="0"/>
            <w:vAlign w:val="center"/>
          </w:tcPr>
          <w:p w14:paraId="679B43D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090" w:type="dxa"/>
            <w:noWrap w:val="0"/>
            <w:vAlign w:val="center"/>
          </w:tcPr>
          <w:p w14:paraId="4A3234D3">
            <w:pPr>
              <w:widowControl/>
              <w:jc w:val="center"/>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电子商务专业申报成功湖南省楚怡教师教学创新团队</w:t>
            </w:r>
          </w:p>
        </w:tc>
        <w:tc>
          <w:tcPr>
            <w:tcW w:w="1186" w:type="dxa"/>
            <w:gridSpan w:val="2"/>
            <w:noWrap w:val="0"/>
            <w:vAlign w:val="center"/>
          </w:tcPr>
          <w:p w14:paraId="51AC0FA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1个</w:t>
            </w:r>
          </w:p>
        </w:tc>
        <w:tc>
          <w:tcPr>
            <w:tcW w:w="1121" w:type="dxa"/>
            <w:noWrap w:val="0"/>
            <w:vAlign w:val="center"/>
          </w:tcPr>
          <w:p w14:paraId="5F50410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1个</w:t>
            </w:r>
          </w:p>
        </w:tc>
        <w:tc>
          <w:tcPr>
            <w:tcW w:w="693" w:type="dxa"/>
            <w:noWrap w:val="0"/>
            <w:vAlign w:val="center"/>
          </w:tcPr>
          <w:p w14:paraId="2914E3B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716" w:type="dxa"/>
            <w:noWrap w:val="0"/>
            <w:vAlign w:val="center"/>
          </w:tcPr>
          <w:p w14:paraId="5111DC4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1136" w:type="dxa"/>
            <w:noWrap w:val="0"/>
            <w:vAlign w:val="center"/>
          </w:tcPr>
          <w:p w14:paraId="03BBD86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r>
      <w:tr w14:paraId="7CCC9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5930104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continue"/>
            <w:noWrap w:val="0"/>
            <w:vAlign w:val="center"/>
          </w:tcPr>
          <w:p w14:paraId="40FFB75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vMerge w:val="continue"/>
            <w:noWrap w:val="0"/>
            <w:vAlign w:val="center"/>
          </w:tcPr>
          <w:p w14:paraId="3B1C9BF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090" w:type="dxa"/>
            <w:noWrap w:val="0"/>
            <w:vAlign w:val="center"/>
          </w:tcPr>
          <w:p w14:paraId="5DDFCD65">
            <w:pPr>
              <w:widowControl/>
              <w:jc w:val="center"/>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申报成功湖南省楚怡名师人员</w:t>
            </w:r>
          </w:p>
        </w:tc>
        <w:tc>
          <w:tcPr>
            <w:tcW w:w="1186" w:type="dxa"/>
            <w:gridSpan w:val="2"/>
            <w:noWrap w:val="0"/>
            <w:vAlign w:val="center"/>
          </w:tcPr>
          <w:p w14:paraId="2BD82E6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1个</w:t>
            </w:r>
          </w:p>
        </w:tc>
        <w:tc>
          <w:tcPr>
            <w:tcW w:w="1121" w:type="dxa"/>
            <w:noWrap w:val="0"/>
            <w:vAlign w:val="center"/>
          </w:tcPr>
          <w:p w14:paraId="2F14891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1个</w:t>
            </w:r>
          </w:p>
        </w:tc>
        <w:tc>
          <w:tcPr>
            <w:tcW w:w="693" w:type="dxa"/>
            <w:noWrap w:val="0"/>
            <w:vAlign w:val="center"/>
          </w:tcPr>
          <w:p w14:paraId="4B1B4B4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716" w:type="dxa"/>
            <w:noWrap w:val="0"/>
            <w:vAlign w:val="center"/>
          </w:tcPr>
          <w:p w14:paraId="3862850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1136" w:type="dxa"/>
            <w:noWrap w:val="0"/>
            <w:vAlign w:val="center"/>
          </w:tcPr>
          <w:p w14:paraId="01B704C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r>
      <w:tr w14:paraId="7EEA0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5ED822A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continue"/>
            <w:noWrap w:val="0"/>
            <w:vAlign w:val="center"/>
          </w:tcPr>
          <w:p w14:paraId="34D8CD6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vMerge w:val="continue"/>
            <w:noWrap w:val="0"/>
            <w:vAlign w:val="center"/>
          </w:tcPr>
          <w:p w14:paraId="06A584D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090" w:type="dxa"/>
            <w:noWrap w:val="0"/>
            <w:vAlign w:val="center"/>
          </w:tcPr>
          <w:p w14:paraId="658E23B9">
            <w:pPr>
              <w:widowControl/>
              <w:jc w:val="center"/>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申报成功湖南省楚怡名师工作室</w:t>
            </w:r>
          </w:p>
        </w:tc>
        <w:tc>
          <w:tcPr>
            <w:tcW w:w="1186" w:type="dxa"/>
            <w:gridSpan w:val="2"/>
            <w:noWrap w:val="0"/>
            <w:vAlign w:val="center"/>
          </w:tcPr>
          <w:p w14:paraId="1FFB7F1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1个</w:t>
            </w:r>
          </w:p>
        </w:tc>
        <w:tc>
          <w:tcPr>
            <w:tcW w:w="1121" w:type="dxa"/>
            <w:noWrap w:val="0"/>
            <w:vAlign w:val="center"/>
          </w:tcPr>
          <w:p w14:paraId="6908FD1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1个</w:t>
            </w:r>
          </w:p>
        </w:tc>
        <w:tc>
          <w:tcPr>
            <w:tcW w:w="693" w:type="dxa"/>
            <w:noWrap w:val="0"/>
            <w:vAlign w:val="center"/>
          </w:tcPr>
          <w:p w14:paraId="740D41E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716" w:type="dxa"/>
            <w:noWrap w:val="0"/>
            <w:vAlign w:val="center"/>
          </w:tcPr>
          <w:p w14:paraId="28309C3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1136" w:type="dxa"/>
            <w:noWrap w:val="0"/>
            <w:vAlign w:val="center"/>
          </w:tcPr>
          <w:p w14:paraId="5544228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r>
      <w:tr w14:paraId="1B9C1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759CFB3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continue"/>
            <w:noWrap w:val="0"/>
            <w:vAlign w:val="center"/>
          </w:tcPr>
          <w:p w14:paraId="343E065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vMerge w:val="continue"/>
            <w:noWrap w:val="0"/>
            <w:vAlign w:val="center"/>
          </w:tcPr>
          <w:p w14:paraId="7C6B63D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090" w:type="dxa"/>
            <w:noWrap w:val="0"/>
            <w:vAlign w:val="center"/>
          </w:tcPr>
          <w:p w14:paraId="6803DAA6">
            <w:pPr>
              <w:widowControl/>
              <w:jc w:val="center"/>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申报成功湖南省楚怡工坊</w:t>
            </w:r>
          </w:p>
        </w:tc>
        <w:tc>
          <w:tcPr>
            <w:tcW w:w="1186" w:type="dxa"/>
            <w:gridSpan w:val="2"/>
            <w:noWrap w:val="0"/>
            <w:vAlign w:val="center"/>
          </w:tcPr>
          <w:p w14:paraId="5BFF323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1个</w:t>
            </w:r>
          </w:p>
        </w:tc>
        <w:tc>
          <w:tcPr>
            <w:tcW w:w="1121" w:type="dxa"/>
            <w:noWrap w:val="0"/>
            <w:vAlign w:val="center"/>
          </w:tcPr>
          <w:p w14:paraId="22C05D7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1个</w:t>
            </w:r>
          </w:p>
        </w:tc>
        <w:tc>
          <w:tcPr>
            <w:tcW w:w="693" w:type="dxa"/>
            <w:noWrap w:val="0"/>
            <w:vAlign w:val="center"/>
          </w:tcPr>
          <w:p w14:paraId="3D1BC095">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716" w:type="dxa"/>
            <w:noWrap w:val="0"/>
            <w:vAlign w:val="center"/>
          </w:tcPr>
          <w:p w14:paraId="5B9E5DF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1136" w:type="dxa"/>
            <w:noWrap w:val="0"/>
            <w:vAlign w:val="center"/>
          </w:tcPr>
          <w:p w14:paraId="1EFFA98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r>
      <w:tr w14:paraId="6A62E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3BD3F9C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continue"/>
            <w:noWrap w:val="0"/>
            <w:vAlign w:val="center"/>
          </w:tcPr>
          <w:p w14:paraId="2763F82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vMerge w:val="continue"/>
            <w:noWrap w:val="0"/>
            <w:vAlign w:val="center"/>
          </w:tcPr>
          <w:p w14:paraId="3B1E1E6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090" w:type="dxa"/>
            <w:noWrap w:val="0"/>
            <w:vAlign w:val="center"/>
          </w:tcPr>
          <w:p w14:paraId="30DC79E1">
            <w:pPr>
              <w:widowControl/>
              <w:jc w:val="both"/>
              <w:rPr>
                <w:rFonts w:hint="eastAsia"/>
                <w:color w:val="auto"/>
                <w:lang w:val="en-US" w:eastAsia="zh-CN"/>
              </w:rPr>
            </w:pPr>
            <w:r>
              <w:rPr>
                <w:rFonts w:hint="eastAsia" w:ascii="仿宋" w:hAnsi="仿宋" w:eastAsia="仿宋" w:cs="仿宋"/>
                <w:color w:val="auto"/>
                <w:kern w:val="0"/>
                <w:sz w:val="20"/>
                <w:szCs w:val="20"/>
                <w:lang w:val="en-US" w:eastAsia="zh-CN"/>
              </w:rPr>
              <w:t>承办CAD机械设计、数控铣、数控车、车身修理赛项</w:t>
            </w:r>
          </w:p>
        </w:tc>
        <w:tc>
          <w:tcPr>
            <w:tcW w:w="1186" w:type="dxa"/>
            <w:gridSpan w:val="2"/>
            <w:noWrap w:val="0"/>
            <w:vAlign w:val="center"/>
          </w:tcPr>
          <w:p w14:paraId="0638DFF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4个</w:t>
            </w:r>
          </w:p>
        </w:tc>
        <w:tc>
          <w:tcPr>
            <w:tcW w:w="1121" w:type="dxa"/>
            <w:noWrap w:val="0"/>
            <w:vAlign w:val="center"/>
          </w:tcPr>
          <w:p w14:paraId="1504B56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4个</w:t>
            </w:r>
          </w:p>
        </w:tc>
        <w:tc>
          <w:tcPr>
            <w:tcW w:w="693" w:type="dxa"/>
            <w:noWrap w:val="0"/>
            <w:vAlign w:val="center"/>
          </w:tcPr>
          <w:p w14:paraId="318DC17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1</w:t>
            </w:r>
          </w:p>
        </w:tc>
        <w:tc>
          <w:tcPr>
            <w:tcW w:w="716" w:type="dxa"/>
            <w:noWrap w:val="0"/>
            <w:vAlign w:val="center"/>
          </w:tcPr>
          <w:p w14:paraId="2C65EC4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1</w:t>
            </w:r>
          </w:p>
        </w:tc>
        <w:tc>
          <w:tcPr>
            <w:tcW w:w="1136" w:type="dxa"/>
            <w:noWrap w:val="0"/>
            <w:vAlign w:val="center"/>
          </w:tcPr>
          <w:p w14:paraId="7C2EE35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r>
      <w:tr w14:paraId="5CB26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2EA3DD1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continue"/>
            <w:noWrap w:val="0"/>
            <w:vAlign w:val="center"/>
          </w:tcPr>
          <w:p w14:paraId="240D7F5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vMerge w:val="continue"/>
            <w:noWrap w:val="0"/>
            <w:vAlign w:val="center"/>
          </w:tcPr>
          <w:p w14:paraId="3AA9E09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090" w:type="dxa"/>
            <w:noWrap w:val="0"/>
            <w:vAlign w:val="center"/>
          </w:tcPr>
          <w:p w14:paraId="299E4D25">
            <w:pPr>
              <w:widowControl/>
              <w:jc w:val="center"/>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现代加工技术赛项和汽车维修赛项</w:t>
            </w:r>
          </w:p>
        </w:tc>
        <w:tc>
          <w:tcPr>
            <w:tcW w:w="1186" w:type="dxa"/>
            <w:gridSpan w:val="2"/>
            <w:noWrap w:val="0"/>
            <w:vAlign w:val="center"/>
          </w:tcPr>
          <w:p w14:paraId="2C6FDED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2个</w:t>
            </w:r>
          </w:p>
        </w:tc>
        <w:tc>
          <w:tcPr>
            <w:tcW w:w="1121" w:type="dxa"/>
            <w:noWrap w:val="0"/>
            <w:vAlign w:val="center"/>
          </w:tcPr>
          <w:p w14:paraId="1517171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2个</w:t>
            </w:r>
          </w:p>
        </w:tc>
        <w:tc>
          <w:tcPr>
            <w:tcW w:w="693" w:type="dxa"/>
            <w:noWrap w:val="0"/>
            <w:vAlign w:val="center"/>
          </w:tcPr>
          <w:p w14:paraId="75B799D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1</w:t>
            </w:r>
          </w:p>
        </w:tc>
        <w:tc>
          <w:tcPr>
            <w:tcW w:w="716" w:type="dxa"/>
            <w:noWrap w:val="0"/>
            <w:vAlign w:val="center"/>
          </w:tcPr>
          <w:p w14:paraId="1873DED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1</w:t>
            </w:r>
          </w:p>
        </w:tc>
        <w:tc>
          <w:tcPr>
            <w:tcW w:w="1136" w:type="dxa"/>
            <w:noWrap w:val="0"/>
            <w:vAlign w:val="center"/>
          </w:tcPr>
          <w:p w14:paraId="14D43C3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r>
      <w:tr w14:paraId="3D5AE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386BA9A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continue"/>
            <w:noWrap w:val="0"/>
            <w:vAlign w:val="center"/>
          </w:tcPr>
          <w:p w14:paraId="5288AB8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vMerge w:val="continue"/>
            <w:noWrap w:val="0"/>
            <w:vAlign w:val="center"/>
          </w:tcPr>
          <w:p w14:paraId="6F53D55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090" w:type="dxa"/>
            <w:noWrap w:val="0"/>
            <w:vAlign w:val="center"/>
          </w:tcPr>
          <w:p w14:paraId="658F9164">
            <w:pPr>
              <w:widowControl/>
              <w:jc w:val="center"/>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省级优质精品课程</w:t>
            </w:r>
          </w:p>
        </w:tc>
        <w:tc>
          <w:tcPr>
            <w:tcW w:w="1186" w:type="dxa"/>
            <w:gridSpan w:val="2"/>
            <w:noWrap w:val="0"/>
            <w:vAlign w:val="center"/>
          </w:tcPr>
          <w:p w14:paraId="33EA37C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5门</w:t>
            </w:r>
          </w:p>
        </w:tc>
        <w:tc>
          <w:tcPr>
            <w:tcW w:w="1121" w:type="dxa"/>
            <w:noWrap w:val="0"/>
            <w:vAlign w:val="center"/>
          </w:tcPr>
          <w:p w14:paraId="7ADC2F3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bidi="ar-SA"/>
              </w:rPr>
              <w:t>5门</w:t>
            </w:r>
          </w:p>
        </w:tc>
        <w:tc>
          <w:tcPr>
            <w:tcW w:w="693" w:type="dxa"/>
            <w:noWrap w:val="0"/>
            <w:vAlign w:val="center"/>
          </w:tcPr>
          <w:p w14:paraId="597960E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716" w:type="dxa"/>
            <w:noWrap w:val="0"/>
            <w:vAlign w:val="center"/>
          </w:tcPr>
          <w:p w14:paraId="6525C8C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1136" w:type="dxa"/>
            <w:noWrap w:val="0"/>
            <w:vAlign w:val="center"/>
          </w:tcPr>
          <w:p w14:paraId="0F1C3D1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r>
      <w:tr w14:paraId="27038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1E65867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continue"/>
            <w:noWrap w:val="0"/>
            <w:vAlign w:val="center"/>
          </w:tcPr>
          <w:p w14:paraId="17041F2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vMerge w:val="continue"/>
            <w:noWrap w:val="0"/>
            <w:vAlign w:val="center"/>
          </w:tcPr>
          <w:p w14:paraId="665D0EB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090" w:type="dxa"/>
            <w:noWrap w:val="0"/>
            <w:vAlign w:val="center"/>
          </w:tcPr>
          <w:p w14:paraId="11D77CE4">
            <w:pPr>
              <w:widowControl/>
              <w:jc w:val="center"/>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招生学生人数</w:t>
            </w:r>
          </w:p>
        </w:tc>
        <w:tc>
          <w:tcPr>
            <w:tcW w:w="1186" w:type="dxa"/>
            <w:gridSpan w:val="2"/>
            <w:noWrap w:val="0"/>
            <w:vAlign w:val="center"/>
          </w:tcPr>
          <w:p w14:paraId="59248BC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4298人</w:t>
            </w:r>
          </w:p>
        </w:tc>
        <w:tc>
          <w:tcPr>
            <w:tcW w:w="1121" w:type="dxa"/>
            <w:noWrap w:val="0"/>
            <w:vAlign w:val="center"/>
          </w:tcPr>
          <w:p w14:paraId="5EA2A42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1450人</w:t>
            </w:r>
          </w:p>
        </w:tc>
        <w:tc>
          <w:tcPr>
            <w:tcW w:w="693" w:type="dxa"/>
            <w:noWrap w:val="0"/>
            <w:vAlign w:val="center"/>
          </w:tcPr>
          <w:p w14:paraId="1AE644B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2</w:t>
            </w:r>
          </w:p>
        </w:tc>
        <w:tc>
          <w:tcPr>
            <w:tcW w:w="716" w:type="dxa"/>
            <w:noWrap w:val="0"/>
            <w:vAlign w:val="center"/>
          </w:tcPr>
          <w:p w14:paraId="40CAC3F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0.7</w:t>
            </w:r>
          </w:p>
        </w:tc>
        <w:tc>
          <w:tcPr>
            <w:tcW w:w="1136" w:type="dxa"/>
            <w:noWrap w:val="0"/>
            <w:vAlign w:val="center"/>
          </w:tcPr>
          <w:p w14:paraId="6C2614C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r>
      <w:tr w14:paraId="4CC64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561C1CC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continue"/>
            <w:noWrap w:val="0"/>
            <w:vAlign w:val="center"/>
          </w:tcPr>
          <w:p w14:paraId="4280DF9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noWrap w:val="0"/>
            <w:vAlign w:val="center"/>
          </w:tcPr>
          <w:p w14:paraId="7ACD480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质量指标</w:t>
            </w:r>
          </w:p>
        </w:tc>
        <w:tc>
          <w:tcPr>
            <w:tcW w:w="1090" w:type="dxa"/>
            <w:noWrap w:val="0"/>
            <w:vAlign w:val="center"/>
          </w:tcPr>
          <w:p w14:paraId="73615012">
            <w:pPr>
              <w:widowControl/>
              <w:jc w:val="center"/>
              <w:rPr>
                <w:rFonts w:hint="eastAsia" w:ascii="仿宋" w:hAnsi="仿宋" w:eastAsia="仿宋" w:cs="仿宋"/>
                <w:b w:val="0"/>
                <w:bCs w:val="0"/>
                <w:color w:val="auto"/>
                <w:kern w:val="0"/>
                <w:sz w:val="20"/>
                <w:szCs w:val="20"/>
                <w:lang w:val="en-US" w:eastAsia="zh-CN" w:bidi="ar-SA"/>
              </w:rPr>
            </w:pPr>
            <w:r>
              <w:rPr>
                <w:rFonts w:hint="eastAsia" w:ascii="仿宋" w:hAnsi="仿宋" w:eastAsia="仿宋" w:cs="仿宋"/>
                <w:color w:val="auto"/>
                <w:kern w:val="0"/>
                <w:sz w:val="20"/>
                <w:szCs w:val="20"/>
                <w:lang w:val="en-US" w:eastAsia="zh-CN"/>
              </w:rPr>
              <w:t>达标完成率</w:t>
            </w:r>
          </w:p>
        </w:tc>
        <w:tc>
          <w:tcPr>
            <w:tcW w:w="1186" w:type="dxa"/>
            <w:gridSpan w:val="2"/>
            <w:noWrap w:val="0"/>
            <w:vAlign w:val="center"/>
          </w:tcPr>
          <w:p w14:paraId="5C03A3E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themeColor="text1"/>
                <w:kern w:val="0"/>
                <w:sz w:val="20"/>
                <w:szCs w:val="20"/>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0"/>
                <w:szCs w:val="20"/>
                <w:highlight w:val="none"/>
                <w:lang w:val="en-US" w:eastAsia="zh-CN" w:bidi="ar-SA"/>
                <w14:textFill>
                  <w14:solidFill>
                    <w14:schemeClr w14:val="tx1"/>
                  </w14:solidFill>
                </w14:textFill>
              </w:rPr>
              <w:t>100%</w:t>
            </w:r>
          </w:p>
        </w:tc>
        <w:tc>
          <w:tcPr>
            <w:tcW w:w="1121" w:type="dxa"/>
            <w:noWrap w:val="0"/>
            <w:vAlign w:val="center"/>
          </w:tcPr>
          <w:p w14:paraId="755FBBD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themeColor="text1"/>
                <w:kern w:val="0"/>
                <w:sz w:val="20"/>
                <w:szCs w:val="20"/>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0"/>
                <w:szCs w:val="20"/>
                <w:highlight w:val="none"/>
                <w:lang w:val="en-US" w:eastAsia="zh-CN" w:bidi="ar-SA"/>
                <w14:textFill>
                  <w14:solidFill>
                    <w14:schemeClr w14:val="tx1"/>
                  </w14:solidFill>
                </w14:textFill>
              </w:rPr>
              <w:t>93.5%</w:t>
            </w:r>
          </w:p>
        </w:tc>
        <w:tc>
          <w:tcPr>
            <w:tcW w:w="693" w:type="dxa"/>
            <w:noWrap w:val="0"/>
            <w:vAlign w:val="center"/>
          </w:tcPr>
          <w:p w14:paraId="6B2CE31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000000" w:themeColor="text1"/>
                <w:kern w:val="0"/>
                <w:sz w:val="20"/>
                <w:szCs w:val="20"/>
                <w:highlight w:val="none"/>
                <w:lang w:val="en-US" w:eastAsia="zh-CN"/>
                <w14:textFill>
                  <w14:solidFill>
                    <w14:schemeClr w14:val="tx1"/>
                  </w14:solidFill>
                </w14:textFill>
              </w:rPr>
            </w:pPr>
            <w:r>
              <w:rPr>
                <w:rFonts w:hint="eastAsia" w:ascii="仿宋" w:hAnsi="仿宋" w:eastAsia="仿宋" w:cs="仿宋"/>
                <w:color w:val="000000" w:themeColor="text1"/>
                <w:kern w:val="0"/>
                <w:sz w:val="20"/>
                <w:szCs w:val="20"/>
                <w:highlight w:val="none"/>
                <w:lang w:val="en-US" w:eastAsia="zh-CN"/>
                <w14:textFill>
                  <w14:solidFill>
                    <w14:schemeClr w14:val="tx1"/>
                  </w14:solidFill>
                </w14:textFill>
              </w:rPr>
              <w:t>10</w:t>
            </w:r>
          </w:p>
        </w:tc>
        <w:tc>
          <w:tcPr>
            <w:tcW w:w="716" w:type="dxa"/>
            <w:noWrap w:val="0"/>
            <w:vAlign w:val="center"/>
          </w:tcPr>
          <w:p w14:paraId="6102496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color w:val="000000" w:themeColor="text1"/>
                <w:highlight w:val="none"/>
                <w:lang w:val="en-US" w:eastAsia="zh-CN"/>
                <w14:textFill>
                  <w14:solidFill>
                    <w14:schemeClr w14:val="tx1"/>
                  </w14:solidFill>
                </w14:textFill>
              </w:rPr>
            </w:pPr>
            <w:r>
              <w:rPr>
                <w:rFonts w:hint="eastAsia" w:ascii="仿宋" w:hAnsi="仿宋" w:eastAsia="仿宋" w:cs="仿宋"/>
                <w:color w:val="000000" w:themeColor="text1"/>
                <w:kern w:val="0"/>
                <w:sz w:val="20"/>
                <w:szCs w:val="20"/>
                <w:highlight w:val="none"/>
                <w:lang w:val="en-US" w:eastAsia="zh-CN"/>
                <w14:textFill>
                  <w14:solidFill>
                    <w14:schemeClr w14:val="tx1"/>
                  </w14:solidFill>
                </w14:textFill>
              </w:rPr>
              <w:t>9.4</w:t>
            </w:r>
          </w:p>
        </w:tc>
        <w:tc>
          <w:tcPr>
            <w:tcW w:w="1136" w:type="dxa"/>
            <w:noWrap w:val="0"/>
            <w:vAlign w:val="center"/>
          </w:tcPr>
          <w:p w14:paraId="619E1D81">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000000" w:themeColor="text1"/>
                <w:kern w:val="0"/>
                <w:sz w:val="20"/>
                <w:szCs w:val="20"/>
                <w:highlight w:val="none"/>
                <w14:textFill>
                  <w14:solidFill>
                    <w14:schemeClr w14:val="tx1"/>
                  </w14:solidFill>
                </w14:textFill>
              </w:rPr>
            </w:pPr>
            <w:r>
              <w:rPr>
                <w:rFonts w:hint="eastAsia" w:ascii="仿宋" w:hAnsi="仿宋" w:eastAsia="仿宋" w:cs="仿宋"/>
                <w:color w:val="000000" w:themeColor="text1"/>
                <w:kern w:val="0"/>
                <w:sz w:val="20"/>
                <w:szCs w:val="20"/>
                <w:highlight w:val="none"/>
                <w14:textFill>
                  <w14:solidFill>
                    <w14:schemeClr w14:val="tx1"/>
                  </w14:solidFill>
                </w14:textFill>
              </w:rPr>
              <w:t>　</w:t>
            </w:r>
          </w:p>
        </w:tc>
      </w:tr>
      <w:tr w14:paraId="026FE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07F070E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continue"/>
            <w:noWrap w:val="0"/>
            <w:vAlign w:val="center"/>
          </w:tcPr>
          <w:p w14:paraId="06C292F2">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noWrap w:val="0"/>
            <w:vAlign w:val="center"/>
          </w:tcPr>
          <w:p w14:paraId="5A8BE44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时效</w:t>
            </w:r>
          </w:p>
          <w:p w14:paraId="3373E8A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指标</w:t>
            </w:r>
          </w:p>
        </w:tc>
        <w:tc>
          <w:tcPr>
            <w:tcW w:w="1090" w:type="dxa"/>
            <w:noWrap w:val="0"/>
            <w:vAlign w:val="center"/>
          </w:tcPr>
          <w:p w14:paraId="0FA2BEDD">
            <w:pPr>
              <w:widowControl/>
              <w:jc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完成及时</w:t>
            </w:r>
            <w:r>
              <w:rPr>
                <w:rFonts w:hint="eastAsia" w:ascii="仿宋" w:hAnsi="仿宋" w:eastAsia="仿宋" w:cs="仿宋"/>
                <w:color w:val="auto"/>
                <w:kern w:val="0"/>
                <w:sz w:val="20"/>
                <w:szCs w:val="20"/>
                <w:lang w:val="en-US" w:eastAsia="zh-CN"/>
              </w:rPr>
              <w:t>性</w:t>
            </w:r>
          </w:p>
        </w:tc>
        <w:tc>
          <w:tcPr>
            <w:tcW w:w="1186" w:type="dxa"/>
            <w:gridSpan w:val="2"/>
            <w:noWrap w:val="0"/>
            <w:vAlign w:val="center"/>
          </w:tcPr>
          <w:p w14:paraId="412CE9F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2023年12月之前</w:t>
            </w:r>
          </w:p>
        </w:tc>
        <w:tc>
          <w:tcPr>
            <w:tcW w:w="1121" w:type="dxa"/>
            <w:noWrap w:val="0"/>
            <w:vAlign w:val="center"/>
          </w:tcPr>
          <w:p w14:paraId="6014D1B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2023年12月之前</w:t>
            </w:r>
          </w:p>
        </w:tc>
        <w:tc>
          <w:tcPr>
            <w:tcW w:w="693" w:type="dxa"/>
            <w:noWrap w:val="0"/>
            <w:vAlign w:val="center"/>
          </w:tcPr>
          <w:p w14:paraId="6019553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10</w:t>
            </w:r>
          </w:p>
        </w:tc>
        <w:tc>
          <w:tcPr>
            <w:tcW w:w="716" w:type="dxa"/>
            <w:noWrap w:val="0"/>
            <w:vAlign w:val="center"/>
          </w:tcPr>
          <w:p w14:paraId="4CEDF59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Theme="minorHAnsi" w:hAnsiTheme="minorHAnsi" w:eastAsiaTheme="minorEastAsia" w:cstheme="minorBidi"/>
                <w:color w:val="auto"/>
                <w:kern w:val="2"/>
                <w:sz w:val="21"/>
                <w:szCs w:val="24"/>
                <w:lang w:val="en-US" w:eastAsia="zh-CN" w:bidi="ar-SA"/>
              </w:rPr>
            </w:pPr>
            <w:r>
              <w:rPr>
                <w:rFonts w:hint="eastAsia" w:ascii="仿宋" w:hAnsi="仿宋" w:eastAsia="仿宋" w:cs="仿宋"/>
                <w:color w:val="auto"/>
                <w:kern w:val="0"/>
                <w:sz w:val="20"/>
                <w:szCs w:val="20"/>
                <w:lang w:val="en-US" w:eastAsia="zh-CN"/>
              </w:rPr>
              <w:t>10</w:t>
            </w:r>
          </w:p>
        </w:tc>
        <w:tc>
          <w:tcPr>
            <w:tcW w:w="1136" w:type="dxa"/>
            <w:noWrap w:val="0"/>
            <w:vAlign w:val="center"/>
          </w:tcPr>
          <w:p w14:paraId="1776B7FB">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r>
      <w:tr w14:paraId="3D2A0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2C07168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continue"/>
            <w:noWrap w:val="0"/>
            <w:vAlign w:val="center"/>
          </w:tcPr>
          <w:p w14:paraId="6DDDE29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noWrap w:val="0"/>
            <w:vAlign w:val="center"/>
          </w:tcPr>
          <w:p w14:paraId="6E05E38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成本</w:t>
            </w:r>
          </w:p>
          <w:p w14:paraId="3A88964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指标</w:t>
            </w:r>
          </w:p>
        </w:tc>
        <w:tc>
          <w:tcPr>
            <w:tcW w:w="1090" w:type="dxa"/>
            <w:noWrap w:val="0"/>
            <w:vAlign w:val="center"/>
          </w:tcPr>
          <w:p w14:paraId="6B3BA466">
            <w:pPr>
              <w:widowControl/>
              <w:jc w:val="center"/>
              <w:rPr>
                <w:rFonts w:hint="eastAsia" w:ascii="仿宋" w:hAnsi="仿宋" w:eastAsia="仿宋" w:cs="仿宋"/>
                <w:b w:val="0"/>
                <w:bCs w:val="0"/>
                <w:color w:val="auto"/>
                <w:kern w:val="0"/>
                <w:sz w:val="20"/>
                <w:szCs w:val="20"/>
                <w:lang w:val="en-US" w:eastAsia="zh-CN" w:bidi="ar-SA"/>
              </w:rPr>
            </w:pPr>
            <w:r>
              <w:rPr>
                <w:rFonts w:hint="eastAsia" w:ascii="仿宋" w:hAnsi="仿宋" w:eastAsia="仿宋" w:cs="仿宋"/>
                <w:color w:val="auto"/>
                <w:kern w:val="0"/>
                <w:sz w:val="20"/>
                <w:szCs w:val="20"/>
              </w:rPr>
              <w:t>项目成本控制</w:t>
            </w:r>
            <w:r>
              <w:rPr>
                <w:rFonts w:hint="eastAsia" w:ascii="仿宋" w:hAnsi="仿宋" w:eastAsia="仿宋" w:cs="仿宋"/>
                <w:color w:val="auto"/>
                <w:kern w:val="0"/>
                <w:sz w:val="20"/>
                <w:szCs w:val="20"/>
                <w:lang w:eastAsia="zh-CN"/>
              </w:rPr>
              <w:t>额</w:t>
            </w:r>
          </w:p>
        </w:tc>
        <w:tc>
          <w:tcPr>
            <w:tcW w:w="1186" w:type="dxa"/>
            <w:gridSpan w:val="2"/>
            <w:noWrap w:val="0"/>
            <w:vAlign w:val="center"/>
          </w:tcPr>
          <w:p w14:paraId="799997D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w:t>
            </w:r>
            <w:r>
              <w:rPr>
                <w:rFonts w:hint="eastAsia" w:ascii="仿宋" w:hAnsi="仿宋" w:eastAsia="仿宋" w:cs="仿宋"/>
                <w:color w:val="auto"/>
                <w:sz w:val="20"/>
                <w:szCs w:val="20"/>
                <w:lang w:val="en-US" w:eastAsia="zh-CN"/>
              </w:rPr>
              <w:t>15736.90万元</w:t>
            </w:r>
          </w:p>
        </w:tc>
        <w:tc>
          <w:tcPr>
            <w:tcW w:w="1121" w:type="dxa"/>
            <w:noWrap w:val="0"/>
            <w:vAlign w:val="center"/>
          </w:tcPr>
          <w:p w14:paraId="4B13386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w:t>
            </w:r>
            <w:r>
              <w:rPr>
                <w:rFonts w:hint="eastAsia" w:ascii="仿宋" w:hAnsi="仿宋" w:eastAsia="仿宋" w:cs="仿宋"/>
                <w:color w:val="auto"/>
                <w:sz w:val="20"/>
                <w:szCs w:val="20"/>
                <w:lang w:val="en-US" w:eastAsia="zh-CN"/>
              </w:rPr>
              <w:t>15736.90万元</w:t>
            </w:r>
          </w:p>
        </w:tc>
        <w:tc>
          <w:tcPr>
            <w:tcW w:w="693" w:type="dxa"/>
            <w:noWrap w:val="0"/>
            <w:vAlign w:val="center"/>
          </w:tcPr>
          <w:p w14:paraId="19EE9CD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lang w:val="en-US" w:eastAsia="zh-CN"/>
              </w:rPr>
              <w:t>10</w:t>
            </w:r>
          </w:p>
        </w:tc>
        <w:tc>
          <w:tcPr>
            <w:tcW w:w="716" w:type="dxa"/>
            <w:noWrap w:val="0"/>
            <w:vAlign w:val="center"/>
          </w:tcPr>
          <w:p w14:paraId="7B4ACAB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仿宋" w:hAnsi="仿宋" w:eastAsia="仿宋" w:cs="仿宋"/>
                <w:color w:val="auto"/>
                <w:kern w:val="0"/>
                <w:sz w:val="20"/>
                <w:szCs w:val="20"/>
                <w:lang w:val="en-US"/>
              </w:rPr>
            </w:pPr>
            <w:r>
              <w:rPr>
                <w:rFonts w:hint="eastAsia" w:ascii="仿宋" w:hAnsi="仿宋" w:eastAsia="仿宋" w:cs="仿宋"/>
                <w:color w:val="auto"/>
                <w:kern w:val="0"/>
                <w:sz w:val="20"/>
                <w:szCs w:val="20"/>
                <w:lang w:val="en-US" w:eastAsia="zh-CN"/>
              </w:rPr>
              <w:t>10</w:t>
            </w:r>
          </w:p>
        </w:tc>
        <w:tc>
          <w:tcPr>
            <w:tcW w:w="1136" w:type="dxa"/>
            <w:noWrap w:val="0"/>
            <w:vAlign w:val="center"/>
          </w:tcPr>
          <w:p w14:paraId="7331664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　</w:t>
            </w:r>
            <w:r>
              <w:rPr>
                <w:rFonts w:hint="eastAsia" w:ascii="仿宋" w:hAnsi="仿宋" w:eastAsia="仿宋" w:cs="仿宋"/>
                <w:color w:val="auto"/>
                <w:kern w:val="0"/>
                <w:sz w:val="20"/>
                <w:szCs w:val="20"/>
                <w:lang w:val="en-US" w:eastAsia="zh-CN"/>
              </w:rPr>
              <w:t>主要是</w:t>
            </w:r>
            <w:r>
              <w:rPr>
                <w:rFonts w:hint="eastAsia" w:ascii="仿宋" w:hAnsi="仿宋" w:eastAsia="仿宋" w:cs="仿宋"/>
                <w:color w:val="auto"/>
                <w:kern w:val="0"/>
                <w:sz w:val="20"/>
                <w:szCs w:val="20"/>
              </w:rPr>
              <w:t>楚怡校项目</w:t>
            </w:r>
            <w:r>
              <w:rPr>
                <w:rFonts w:hint="eastAsia" w:ascii="仿宋" w:hAnsi="仿宋" w:eastAsia="仿宋" w:cs="仿宋"/>
                <w:color w:val="auto"/>
                <w:kern w:val="0"/>
                <w:sz w:val="20"/>
                <w:szCs w:val="20"/>
                <w:lang w:val="en-US" w:eastAsia="zh-CN"/>
              </w:rPr>
              <w:t>已实施，资金支付滞后</w:t>
            </w:r>
          </w:p>
        </w:tc>
      </w:tr>
      <w:tr w14:paraId="66B76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27282D1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restart"/>
            <w:noWrap w:val="0"/>
            <w:vAlign w:val="center"/>
          </w:tcPr>
          <w:p w14:paraId="60977A8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效益指标</w:t>
            </w:r>
          </w:p>
          <w:p w14:paraId="11F7DCC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（3</w:t>
            </w:r>
            <w:r>
              <w:rPr>
                <w:rFonts w:hint="eastAsia" w:ascii="仿宋" w:hAnsi="仿宋" w:eastAsia="仿宋" w:cs="仿宋"/>
                <w:color w:val="auto"/>
                <w:kern w:val="0"/>
                <w:sz w:val="20"/>
                <w:szCs w:val="20"/>
                <w:lang w:val="en-US" w:eastAsia="zh-CN"/>
              </w:rPr>
              <w:t>0</w:t>
            </w:r>
            <w:r>
              <w:rPr>
                <w:rFonts w:hint="eastAsia" w:ascii="仿宋" w:hAnsi="仿宋" w:eastAsia="仿宋" w:cs="仿宋"/>
                <w:color w:val="auto"/>
                <w:kern w:val="0"/>
                <w:sz w:val="20"/>
                <w:szCs w:val="20"/>
              </w:rPr>
              <w:t>分）</w:t>
            </w:r>
          </w:p>
        </w:tc>
        <w:tc>
          <w:tcPr>
            <w:tcW w:w="1069" w:type="dxa"/>
            <w:noWrap w:val="0"/>
            <w:vAlign w:val="center"/>
          </w:tcPr>
          <w:p w14:paraId="325587E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经济效</w:t>
            </w:r>
          </w:p>
          <w:p w14:paraId="183FF51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益指标</w:t>
            </w:r>
          </w:p>
        </w:tc>
        <w:tc>
          <w:tcPr>
            <w:tcW w:w="1090" w:type="dxa"/>
            <w:noWrap w:val="0"/>
            <w:vAlign w:val="center"/>
          </w:tcPr>
          <w:p w14:paraId="37FE1EEC">
            <w:pPr>
              <w:widowControl/>
              <w:jc w:val="center"/>
              <w:rPr>
                <w:rFonts w:hint="eastAsia" w:ascii="仿宋" w:hAnsi="仿宋" w:eastAsia="仿宋" w:cs="仿宋"/>
                <w:b w:val="0"/>
                <w:bCs w:val="0"/>
                <w:color w:val="auto"/>
                <w:kern w:val="0"/>
                <w:sz w:val="20"/>
                <w:szCs w:val="20"/>
                <w:lang w:val="en-US" w:eastAsia="zh-CN" w:bidi="ar-SA"/>
              </w:rPr>
            </w:pPr>
            <w:r>
              <w:rPr>
                <w:rFonts w:hint="eastAsia" w:ascii="仿宋" w:hAnsi="仿宋" w:eastAsia="仿宋" w:cs="仿宋"/>
                <w:b w:val="0"/>
                <w:bCs w:val="0"/>
                <w:color w:val="auto"/>
                <w:kern w:val="0"/>
                <w:sz w:val="20"/>
                <w:szCs w:val="20"/>
                <w:lang w:val="en-US" w:eastAsia="zh-CN" w:bidi="ar-SA"/>
              </w:rPr>
              <w:t>以民营经济之“为”促进怀化经济社会发展</w:t>
            </w:r>
          </w:p>
        </w:tc>
        <w:tc>
          <w:tcPr>
            <w:tcW w:w="1186" w:type="dxa"/>
            <w:gridSpan w:val="2"/>
            <w:noWrap w:val="0"/>
            <w:vAlign w:val="center"/>
          </w:tcPr>
          <w:p w14:paraId="73CFE72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效果明显</w:t>
            </w:r>
          </w:p>
        </w:tc>
        <w:tc>
          <w:tcPr>
            <w:tcW w:w="1121" w:type="dxa"/>
            <w:noWrap w:val="0"/>
            <w:vAlign w:val="center"/>
          </w:tcPr>
          <w:p w14:paraId="3DB64E6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效果明显</w:t>
            </w:r>
          </w:p>
        </w:tc>
        <w:tc>
          <w:tcPr>
            <w:tcW w:w="693" w:type="dxa"/>
            <w:noWrap w:val="0"/>
            <w:vAlign w:val="center"/>
          </w:tcPr>
          <w:p w14:paraId="7B7C3B1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lang w:val="en-US" w:eastAsia="zh-CN"/>
              </w:rPr>
              <w:t>10</w:t>
            </w:r>
          </w:p>
        </w:tc>
        <w:tc>
          <w:tcPr>
            <w:tcW w:w="716" w:type="dxa"/>
            <w:noWrap w:val="0"/>
            <w:vAlign w:val="center"/>
          </w:tcPr>
          <w:p w14:paraId="70A28C9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lang w:val="en-US" w:eastAsia="zh-CN"/>
              </w:rPr>
              <w:t>10</w:t>
            </w:r>
          </w:p>
        </w:tc>
        <w:tc>
          <w:tcPr>
            <w:tcW w:w="1136" w:type="dxa"/>
            <w:noWrap w:val="0"/>
            <w:vAlign w:val="center"/>
          </w:tcPr>
          <w:p w14:paraId="265CD4E5">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　</w:t>
            </w:r>
          </w:p>
        </w:tc>
      </w:tr>
      <w:tr w14:paraId="2D65F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074251B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continue"/>
            <w:noWrap w:val="0"/>
            <w:vAlign w:val="center"/>
          </w:tcPr>
          <w:p w14:paraId="19A4E77F">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noWrap w:val="0"/>
            <w:vAlign w:val="center"/>
          </w:tcPr>
          <w:p w14:paraId="172D7DDF">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社会效</w:t>
            </w:r>
          </w:p>
          <w:p w14:paraId="7414192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益指标</w:t>
            </w:r>
          </w:p>
        </w:tc>
        <w:tc>
          <w:tcPr>
            <w:tcW w:w="1090" w:type="dxa"/>
            <w:noWrap w:val="0"/>
            <w:vAlign w:val="center"/>
          </w:tcPr>
          <w:p w14:paraId="45F4885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lang w:eastAsia="zh-CN"/>
              </w:rPr>
            </w:pPr>
            <w:r>
              <w:rPr>
                <w:rFonts w:hint="eastAsia" w:ascii="仿宋" w:hAnsi="仿宋" w:eastAsia="仿宋" w:cs="仿宋"/>
                <w:color w:val="auto"/>
                <w:kern w:val="0"/>
                <w:sz w:val="20"/>
                <w:szCs w:val="20"/>
              </w:rPr>
              <w:t>给广大学生提供更多的技能学习机会</w:t>
            </w:r>
            <w:r>
              <w:rPr>
                <w:rFonts w:hint="eastAsia" w:ascii="仿宋" w:hAnsi="仿宋" w:eastAsia="仿宋" w:cs="仿宋"/>
                <w:color w:val="auto"/>
                <w:kern w:val="0"/>
                <w:sz w:val="20"/>
                <w:szCs w:val="20"/>
                <w:lang w:eastAsia="zh-CN"/>
              </w:rPr>
              <w:t>、为社会培养技能型学生</w:t>
            </w:r>
          </w:p>
        </w:tc>
        <w:tc>
          <w:tcPr>
            <w:tcW w:w="1186" w:type="dxa"/>
            <w:gridSpan w:val="2"/>
            <w:noWrap w:val="0"/>
            <w:vAlign w:val="center"/>
          </w:tcPr>
          <w:p w14:paraId="63D2AA7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效果明显</w:t>
            </w:r>
          </w:p>
        </w:tc>
        <w:tc>
          <w:tcPr>
            <w:tcW w:w="1121" w:type="dxa"/>
            <w:noWrap w:val="0"/>
            <w:vAlign w:val="center"/>
          </w:tcPr>
          <w:p w14:paraId="6F17B1AD">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效果明显</w:t>
            </w:r>
          </w:p>
        </w:tc>
        <w:tc>
          <w:tcPr>
            <w:tcW w:w="693" w:type="dxa"/>
            <w:noWrap w:val="0"/>
            <w:vAlign w:val="center"/>
          </w:tcPr>
          <w:p w14:paraId="09DE43A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lang w:val="en-US" w:eastAsia="zh-CN"/>
              </w:rPr>
              <w:t>10</w:t>
            </w:r>
          </w:p>
        </w:tc>
        <w:tc>
          <w:tcPr>
            <w:tcW w:w="716" w:type="dxa"/>
            <w:noWrap w:val="0"/>
            <w:vAlign w:val="center"/>
          </w:tcPr>
          <w:p w14:paraId="211CDCC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lang w:val="en-US" w:eastAsia="zh-CN"/>
              </w:rPr>
              <w:t>10</w:t>
            </w:r>
          </w:p>
        </w:tc>
        <w:tc>
          <w:tcPr>
            <w:tcW w:w="1136" w:type="dxa"/>
            <w:noWrap w:val="0"/>
            <w:vAlign w:val="center"/>
          </w:tcPr>
          <w:p w14:paraId="0B12B9D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　</w:t>
            </w:r>
          </w:p>
        </w:tc>
      </w:tr>
      <w:tr w14:paraId="24CDB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51247E0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continue"/>
            <w:noWrap w:val="0"/>
            <w:vAlign w:val="center"/>
          </w:tcPr>
          <w:p w14:paraId="706C339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noWrap w:val="0"/>
            <w:vAlign w:val="center"/>
          </w:tcPr>
          <w:p w14:paraId="6C3203A0">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生态效</w:t>
            </w:r>
          </w:p>
          <w:p w14:paraId="5CC248A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益指标</w:t>
            </w:r>
          </w:p>
        </w:tc>
        <w:tc>
          <w:tcPr>
            <w:tcW w:w="1090" w:type="dxa"/>
            <w:noWrap w:val="0"/>
            <w:vAlign w:val="center"/>
          </w:tcPr>
          <w:p w14:paraId="427EEDA0">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不适用</w:t>
            </w:r>
          </w:p>
        </w:tc>
        <w:tc>
          <w:tcPr>
            <w:tcW w:w="1186" w:type="dxa"/>
            <w:gridSpan w:val="2"/>
            <w:noWrap w:val="0"/>
            <w:vAlign w:val="center"/>
          </w:tcPr>
          <w:p w14:paraId="42C91287">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不适用</w:t>
            </w:r>
          </w:p>
        </w:tc>
        <w:tc>
          <w:tcPr>
            <w:tcW w:w="1121" w:type="dxa"/>
            <w:noWrap w:val="0"/>
            <w:vAlign w:val="center"/>
          </w:tcPr>
          <w:p w14:paraId="619204AD">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不适用</w:t>
            </w:r>
          </w:p>
        </w:tc>
        <w:tc>
          <w:tcPr>
            <w:tcW w:w="693" w:type="dxa"/>
            <w:noWrap w:val="0"/>
            <w:vAlign w:val="center"/>
          </w:tcPr>
          <w:p w14:paraId="1C1E3FE6">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不适用</w:t>
            </w:r>
          </w:p>
        </w:tc>
        <w:tc>
          <w:tcPr>
            <w:tcW w:w="716" w:type="dxa"/>
            <w:noWrap w:val="0"/>
            <w:vAlign w:val="center"/>
          </w:tcPr>
          <w:p w14:paraId="3E6D33A2">
            <w:pPr>
              <w:keepNext w:val="0"/>
              <w:keepLines w:val="0"/>
              <w:pageBreakBefore w:val="0"/>
              <w:widowControl/>
              <w:kinsoku/>
              <w:wordWrap/>
              <w:overflowPunct/>
              <w:topLinePunct w:val="0"/>
              <w:autoSpaceDE/>
              <w:autoSpaceDN/>
              <w:bidi w:val="0"/>
              <w:adjustRightInd/>
              <w:snapToGrid/>
              <w:spacing w:line="240" w:lineRule="exact"/>
              <w:jc w:val="both"/>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不适用</w:t>
            </w:r>
          </w:p>
        </w:tc>
        <w:tc>
          <w:tcPr>
            <w:tcW w:w="1136" w:type="dxa"/>
            <w:noWrap w:val="0"/>
            <w:vAlign w:val="center"/>
          </w:tcPr>
          <w:p w14:paraId="1E4290BE">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　</w:t>
            </w:r>
          </w:p>
        </w:tc>
      </w:tr>
      <w:tr w14:paraId="2EA0B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35F589D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p>
        </w:tc>
        <w:tc>
          <w:tcPr>
            <w:tcW w:w="1130" w:type="dxa"/>
            <w:vMerge w:val="continue"/>
            <w:noWrap w:val="0"/>
            <w:vAlign w:val="center"/>
          </w:tcPr>
          <w:p w14:paraId="23E5981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069" w:type="dxa"/>
            <w:noWrap w:val="0"/>
            <w:vAlign w:val="center"/>
          </w:tcPr>
          <w:p w14:paraId="5E7DB52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可持续影响指标</w:t>
            </w:r>
          </w:p>
        </w:tc>
        <w:tc>
          <w:tcPr>
            <w:tcW w:w="1090" w:type="dxa"/>
            <w:noWrap w:val="0"/>
            <w:vAlign w:val="center"/>
          </w:tcPr>
          <w:p w14:paraId="1067BEE8">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auto"/>
                <w:kern w:val="0"/>
                <w:sz w:val="20"/>
                <w:szCs w:val="20"/>
                <w:lang w:val="en-US"/>
              </w:rPr>
            </w:pPr>
            <w:r>
              <w:rPr>
                <w:rFonts w:hint="eastAsia" w:ascii="仿宋" w:hAnsi="仿宋" w:eastAsia="仿宋" w:cs="仿宋"/>
                <w:color w:val="auto"/>
                <w:kern w:val="0"/>
                <w:sz w:val="20"/>
                <w:szCs w:val="20"/>
                <w:highlight w:val="none"/>
                <w:lang w:val="en-US" w:eastAsia="zh-CN"/>
              </w:rPr>
              <w:t>促进教学可持续发展</w:t>
            </w:r>
          </w:p>
        </w:tc>
        <w:tc>
          <w:tcPr>
            <w:tcW w:w="1186" w:type="dxa"/>
            <w:gridSpan w:val="2"/>
            <w:noWrap w:val="0"/>
            <w:vAlign w:val="center"/>
          </w:tcPr>
          <w:p w14:paraId="2B52E1EE">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效果明显</w:t>
            </w:r>
          </w:p>
        </w:tc>
        <w:tc>
          <w:tcPr>
            <w:tcW w:w="1121" w:type="dxa"/>
            <w:noWrap w:val="0"/>
            <w:vAlign w:val="center"/>
          </w:tcPr>
          <w:p w14:paraId="01EBEF6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效果明显</w:t>
            </w:r>
          </w:p>
        </w:tc>
        <w:tc>
          <w:tcPr>
            <w:tcW w:w="693" w:type="dxa"/>
            <w:noWrap w:val="0"/>
            <w:vAlign w:val="center"/>
          </w:tcPr>
          <w:p w14:paraId="1864F19A">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lang w:val="en-US" w:eastAsia="zh-CN"/>
              </w:rPr>
              <w:t>10</w:t>
            </w:r>
          </w:p>
        </w:tc>
        <w:tc>
          <w:tcPr>
            <w:tcW w:w="716" w:type="dxa"/>
            <w:noWrap w:val="0"/>
            <w:vAlign w:val="center"/>
          </w:tcPr>
          <w:p w14:paraId="0CCE5477">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lang w:val="en-US" w:eastAsia="zh-CN"/>
              </w:rPr>
              <w:t>10</w:t>
            </w:r>
          </w:p>
        </w:tc>
        <w:tc>
          <w:tcPr>
            <w:tcW w:w="1136" w:type="dxa"/>
            <w:noWrap w:val="0"/>
            <w:vAlign w:val="center"/>
          </w:tcPr>
          <w:p w14:paraId="2FA39294">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　</w:t>
            </w:r>
          </w:p>
        </w:tc>
      </w:tr>
      <w:tr w14:paraId="3ED7F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21" w:type="dxa"/>
            <w:vMerge w:val="continue"/>
            <w:noWrap w:val="0"/>
            <w:vAlign w:val="center"/>
          </w:tcPr>
          <w:p w14:paraId="519566E6">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p>
        </w:tc>
        <w:tc>
          <w:tcPr>
            <w:tcW w:w="1130" w:type="dxa"/>
            <w:noWrap w:val="0"/>
            <w:vAlign w:val="center"/>
          </w:tcPr>
          <w:p w14:paraId="67205624">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满意度</w:t>
            </w:r>
          </w:p>
          <w:p w14:paraId="05C4EA0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指标</w:t>
            </w:r>
          </w:p>
          <w:p w14:paraId="2A657158">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（10分）</w:t>
            </w:r>
          </w:p>
        </w:tc>
        <w:tc>
          <w:tcPr>
            <w:tcW w:w="1069" w:type="dxa"/>
            <w:noWrap w:val="0"/>
            <w:vAlign w:val="center"/>
          </w:tcPr>
          <w:p w14:paraId="5C3285E9">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服务对象满意度指标</w:t>
            </w:r>
          </w:p>
        </w:tc>
        <w:tc>
          <w:tcPr>
            <w:tcW w:w="1090" w:type="dxa"/>
            <w:noWrap w:val="0"/>
            <w:vAlign w:val="center"/>
          </w:tcPr>
          <w:p w14:paraId="53718DE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lang w:val="en-US" w:eastAsia="zh-CN"/>
              </w:rPr>
              <w:t>社会公众、满意度</w:t>
            </w:r>
          </w:p>
        </w:tc>
        <w:tc>
          <w:tcPr>
            <w:tcW w:w="1186" w:type="dxa"/>
            <w:gridSpan w:val="2"/>
            <w:noWrap w:val="0"/>
            <w:vAlign w:val="center"/>
          </w:tcPr>
          <w:p w14:paraId="3E593673">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≥95%</w:t>
            </w:r>
          </w:p>
        </w:tc>
        <w:tc>
          <w:tcPr>
            <w:tcW w:w="1121" w:type="dxa"/>
            <w:noWrap w:val="0"/>
            <w:vAlign w:val="center"/>
          </w:tcPr>
          <w:p w14:paraId="6123704B">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lang w:val="en-US" w:eastAsia="zh-CN" w:bidi="ar-SA"/>
              </w:rPr>
            </w:pPr>
            <w:r>
              <w:rPr>
                <w:rFonts w:hint="eastAsia" w:ascii="仿宋" w:hAnsi="仿宋" w:eastAsia="仿宋" w:cs="仿宋"/>
                <w:color w:val="auto"/>
                <w:kern w:val="0"/>
                <w:sz w:val="20"/>
                <w:szCs w:val="20"/>
                <w:lang w:val="en-US" w:eastAsia="zh-CN"/>
              </w:rPr>
              <w:t>95%</w:t>
            </w:r>
          </w:p>
        </w:tc>
        <w:tc>
          <w:tcPr>
            <w:tcW w:w="693" w:type="dxa"/>
            <w:noWrap w:val="0"/>
            <w:vAlign w:val="center"/>
          </w:tcPr>
          <w:p w14:paraId="2F28958C">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lang w:val="en-US" w:eastAsia="zh-CN"/>
              </w:rPr>
              <w:t>10</w:t>
            </w:r>
          </w:p>
        </w:tc>
        <w:tc>
          <w:tcPr>
            <w:tcW w:w="716" w:type="dxa"/>
            <w:noWrap w:val="0"/>
            <w:vAlign w:val="center"/>
          </w:tcPr>
          <w:p w14:paraId="55C948B6">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lang w:val="en-US" w:eastAsia="zh-CN"/>
              </w:rPr>
              <w:t>10</w:t>
            </w:r>
          </w:p>
        </w:tc>
        <w:tc>
          <w:tcPr>
            <w:tcW w:w="1136" w:type="dxa"/>
            <w:noWrap w:val="0"/>
            <w:vAlign w:val="center"/>
          </w:tcPr>
          <w:p w14:paraId="63F5A00A">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　</w:t>
            </w:r>
          </w:p>
        </w:tc>
      </w:tr>
      <w:tr w14:paraId="54E28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17" w:type="dxa"/>
            <w:gridSpan w:val="7"/>
            <w:noWrap w:val="0"/>
            <w:vAlign w:val="center"/>
          </w:tcPr>
          <w:p w14:paraId="57F5CC0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总分</w:t>
            </w:r>
          </w:p>
        </w:tc>
        <w:tc>
          <w:tcPr>
            <w:tcW w:w="693" w:type="dxa"/>
            <w:noWrap w:val="0"/>
            <w:vAlign w:val="center"/>
          </w:tcPr>
          <w:p w14:paraId="6F544DD1">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100</w:t>
            </w:r>
          </w:p>
        </w:tc>
        <w:tc>
          <w:tcPr>
            <w:tcW w:w="716" w:type="dxa"/>
            <w:noWrap w:val="0"/>
            <w:vAlign w:val="center"/>
          </w:tcPr>
          <w:p w14:paraId="63DA61A9">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ascii="仿宋" w:hAnsi="仿宋" w:eastAsia="仿宋" w:cs="仿宋"/>
                <w:color w:val="auto"/>
                <w:kern w:val="0"/>
                <w:sz w:val="20"/>
                <w:szCs w:val="20"/>
                <w:lang w:val="en-US"/>
              </w:rPr>
            </w:pPr>
            <w:r>
              <w:rPr>
                <w:rFonts w:hint="eastAsia" w:ascii="仿宋" w:hAnsi="仿宋" w:eastAsia="仿宋" w:cs="仿宋"/>
                <w:color w:val="auto"/>
                <w:kern w:val="0"/>
                <w:sz w:val="20"/>
                <w:szCs w:val="20"/>
              </w:rPr>
              <w:t>　</w:t>
            </w:r>
            <w:r>
              <w:rPr>
                <w:rFonts w:hint="eastAsia" w:ascii="仿宋" w:hAnsi="仿宋" w:eastAsia="仿宋" w:cs="仿宋"/>
                <w:color w:val="auto"/>
                <w:kern w:val="0"/>
                <w:sz w:val="20"/>
                <w:szCs w:val="20"/>
                <w:lang w:val="en-US" w:eastAsia="zh-CN"/>
              </w:rPr>
              <w:t>98.10</w:t>
            </w:r>
          </w:p>
        </w:tc>
        <w:tc>
          <w:tcPr>
            <w:tcW w:w="1136" w:type="dxa"/>
            <w:noWrap w:val="0"/>
            <w:vAlign w:val="center"/>
          </w:tcPr>
          <w:p w14:paraId="052CF36D">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　</w:t>
            </w:r>
          </w:p>
        </w:tc>
      </w:tr>
    </w:tbl>
    <w:p w14:paraId="29863DA7">
      <w:pPr>
        <w:widowControl w:val="0"/>
        <w:kinsoku/>
        <w:autoSpaceDE/>
        <w:autoSpaceDN/>
        <w:adjustRightInd/>
        <w:snapToGrid/>
        <w:spacing w:line="600" w:lineRule="exact"/>
        <w:jc w:val="both"/>
        <w:textAlignment w:val="auto"/>
        <w:rPr>
          <w:rFonts w:hint="default" w:ascii="Times New Roman" w:hAnsi="Times New Roman" w:eastAsia="仿宋_GB2312" w:cs="Times New Roman"/>
          <w:snapToGrid/>
          <w:color w:val="auto"/>
          <w:kern w:val="0"/>
          <w:sz w:val="32"/>
          <w:szCs w:val="32"/>
          <w:lang w:val="en-US" w:eastAsia="zh-CN" w:bidi="ar-SA"/>
        </w:rPr>
      </w:pPr>
      <w:r>
        <w:rPr>
          <w:rFonts w:hint="default" w:ascii="Times New Roman" w:hAnsi="Times New Roman" w:eastAsia="仿宋_GB2312" w:cs="Times New Roman"/>
          <w:snapToGrid/>
          <w:color w:val="auto"/>
          <w:kern w:val="0"/>
          <w:sz w:val="24"/>
          <w:szCs w:val="24"/>
          <w:lang w:val="en-US" w:eastAsia="zh-CN" w:bidi="ar-SA"/>
        </w:rPr>
        <w:t>填表人：</w:t>
      </w:r>
      <w:r>
        <w:rPr>
          <w:rFonts w:hint="eastAsia" w:ascii="Times New Roman" w:hAnsi="Times New Roman" w:eastAsia="仿宋_GB2312" w:cs="Times New Roman"/>
          <w:snapToGrid/>
          <w:color w:val="auto"/>
          <w:kern w:val="0"/>
          <w:sz w:val="24"/>
          <w:szCs w:val="24"/>
          <w:lang w:val="en-US" w:eastAsia="zh-CN" w:bidi="ar-SA"/>
        </w:rPr>
        <w:t xml:space="preserve">杨武       </w:t>
      </w:r>
      <w:r>
        <w:rPr>
          <w:rFonts w:hint="default" w:ascii="Times New Roman" w:hAnsi="Times New Roman" w:eastAsia="仿宋_GB2312" w:cs="Times New Roman"/>
          <w:snapToGrid/>
          <w:color w:val="auto"/>
          <w:kern w:val="0"/>
          <w:sz w:val="24"/>
          <w:szCs w:val="24"/>
          <w:lang w:val="en-US" w:eastAsia="zh-CN" w:bidi="ar-SA"/>
        </w:rPr>
        <w:t xml:space="preserve">  填报日期：</w:t>
      </w:r>
      <w:r>
        <w:rPr>
          <w:rFonts w:hint="eastAsia" w:ascii="Times New Roman" w:hAnsi="Times New Roman" w:eastAsia="仿宋_GB2312" w:cs="Times New Roman"/>
          <w:snapToGrid/>
          <w:color w:val="auto"/>
          <w:kern w:val="0"/>
          <w:sz w:val="24"/>
          <w:szCs w:val="24"/>
          <w:lang w:val="en-US" w:eastAsia="zh-CN" w:bidi="ar-SA"/>
        </w:rPr>
        <w:t xml:space="preserve">2024.6.28            </w:t>
      </w:r>
      <w:r>
        <w:rPr>
          <w:rFonts w:hint="default" w:ascii="Times New Roman" w:hAnsi="Times New Roman" w:eastAsia="仿宋_GB2312" w:cs="Times New Roman"/>
          <w:snapToGrid/>
          <w:color w:val="auto"/>
          <w:kern w:val="0"/>
          <w:sz w:val="24"/>
          <w:szCs w:val="24"/>
          <w:lang w:val="en-US" w:eastAsia="zh-CN" w:bidi="ar-SA"/>
        </w:rPr>
        <w:t xml:space="preserve"> 联系电话：</w:t>
      </w:r>
      <w:r>
        <w:rPr>
          <w:rFonts w:hint="eastAsia" w:ascii="Times New Roman" w:hAnsi="Times New Roman" w:eastAsia="仿宋_GB2312" w:cs="Times New Roman"/>
          <w:snapToGrid/>
          <w:color w:val="auto"/>
          <w:kern w:val="0"/>
          <w:sz w:val="24"/>
          <w:szCs w:val="24"/>
          <w:lang w:val="en-US" w:eastAsia="zh-CN" w:bidi="ar-SA"/>
        </w:rPr>
        <w:t xml:space="preserve">15974038601 </w:t>
      </w:r>
    </w:p>
    <w:p w14:paraId="434D2900">
      <w:pPr>
        <w:rPr>
          <w:rFonts w:hint="default"/>
          <w:color w:val="auto"/>
          <w:lang w:val="en-US" w:eastAsia="zh-CN"/>
        </w:rPr>
      </w:pPr>
    </w:p>
    <w:sectPr>
      <w:footerReference r:id="rId3" w:type="default"/>
      <w:pgSz w:w="11906" w:h="16838"/>
      <w:pgMar w:top="2098" w:right="1800"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3B4D8A9-5640-4122-BD88-1C0A42BB2C3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21D5A2B7-80EC-476D-9B72-105090B97B40}"/>
  </w:font>
  <w:font w:name="Calibri Light">
    <w:panose1 w:val="020F0302020204030204"/>
    <w:charset w:val="00"/>
    <w:family w:val="auto"/>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embedRegular r:id="rId3" w:fontKey="{CF6AEC2D-469B-4A95-ABFD-2572B47941FE}"/>
  </w:font>
  <w:font w:name="仿宋_GB2312">
    <w:panose1 w:val="02010609030101010101"/>
    <w:charset w:val="86"/>
    <w:family w:val="auto"/>
    <w:pitch w:val="default"/>
    <w:sig w:usb0="00000001" w:usb1="080E0000" w:usb2="00000000" w:usb3="00000000" w:csb0="00040000" w:csb1="00000000"/>
    <w:embedRegular r:id="rId4" w:fontKey="{7E16979E-D12B-45A6-A3FA-7D0DF6432F2C}"/>
  </w:font>
  <w:font w:name="微软雅黑">
    <w:panose1 w:val="020B0503020204020204"/>
    <w:charset w:val="86"/>
    <w:family w:val="auto"/>
    <w:pitch w:val="default"/>
    <w:sig w:usb0="80000287" w:usb1="2ACF3C50" w:usb2="00000016" w:usb3="00000000" w:csb0="0004001F" w:csb1="00000000"/>
  </w:font>
  <w:font w:name="方正小标宋_GBK">
    <w:panose1 w:val="03000509000000000000"/>
    <w:charset w:val="86"/>
    <w:family w:val="auto"/>
    <w:pitch w:val="default"/>
    <w:sig w:usb0="00000001" w:usb1="080E0000" w:usb2="00000000" w:usb3="00000000" w:csb0="00040000" w:csb1="00000000"/>
    <w:embedRegular r:id="rId5" w:fontKey="{7EAFC579-7BF4-4410-819F-7D4518B91746}"/>
  </w:font>
  <w:font w:name="仿宋">
    <w:panose1 w:val="02010609060101010101"/>
    <w:charset w:val="86"/>
    <w:family w:val="auto"/>
    <w:pitch w:val="default"/>
    <w:sig w:usb0="800002BF" w:usb1="38CF7CFA" w:usb2="00000016" w:usb3="00000000" w:csb0="00040001" w:csb1="00000000"/>
    <w:embedRegular r:id="rId6" w:fontKey="{2D1D6718-E0C5-4AE1-B53A-4D2B6573893B}"/>
  </w:font>
  <w:font w:name="方正小标宋简体">
    <w:panose1 w:val="02000000000000000000"/>
    <w:charset w:val="86"/>
    <w:family w:val="auto"/>
    <w:pitch w:val="default"/>
    <w:sig w:usb0="00000001" w:usb1="08000000" w:usb2="00000000" w:usb3="00000000" w:csb0="00040000" w:csb1="00000000"/>
    <w:embedRegular r:id="rId7" w:fontKey="{D960F23A-507E-4FEA-8F4B-288758FEA2C9}"/>
  </w:font>
  <w:font w:name="方正仿宋_GB2312">
    <w:panose1 w:val="02000000000000000000"/>
    <w:charset w:val="86"/>
    <w:family w:val="auto"/>
    <w:pitch w:val="default"/>
    <w:sig w:usb0="A00002BF" w:usb1="184F6CFA" w:usb2="00000012" w:usb3="00000000" w:csb0="00040001" w:csb1="00000000"/>
    <w:embedRegular r:id="rId8" w:fontKey="{59D7674E-3A40-4FD5-BC88-B532860F812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2D49A6">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8DACDE">
                          <w:pPr>
                            <w:pStyle w:val="4"/>
                          </w:pPr>
                          <w:r>
                            <w:rPr>
                              <w:rFonts w:hint="eastAsia" w:ascii="方正仿宋_GB2312" w:hAnsi="方正仿宋_GB2312" w:eastAsia="方正仿宋_GB2312" w:cs="方正仿宋_GB2312"/>
                              <w:sz w:val="28"/>
                              <w:szCs w:val="28"/>
                            </w:rPr>
                            <w:fldChar w:fldCharType="begin"/>
                          </w:r>
                          <w:r>
                            <w:rPr>
                              <w:rFonts w:hint="eastAsia" w:ascii="方正仿宋_GB2312" w:hAnsi="方正仿宋_GB2312" w:eastAsia="方正仿宋_GB2312" w:cs="方正仿宋_GB2312"/>
                              <w:sz w:val="28"/>
                              <w:szCs w:val="28"/>
                            </w:rPr>
                            <w:instrText xml:space="preserve"> PAGE  \* MERGEFORMAT </w:instrText>
                          </w:r>
                          <w:r>
                            <w:rPr>
                              <w:rFonts w:hint="eastAsia" w:ascii="方正仿宋_GB2312" w:hAnsi="方正仿宋_GB2312" w:eastAsia="方正仿宋_GB2312" w:cs="方正仿宋_GB2312"/>
                              <w:sz w:val="28"/>
                              <w:szCs w:val="28"/>
                            </w:rPr>
                            <w:fldChar w:fldCharType="separate"/>
                          </w:r>
                          <w:r>
                            <w:rPr>
                              <w:rFonts w:hint="eastAsia" w:ascii="方正仿宋_GB2312" w:hAnsi="方正仿宋_GB2312" w:eastAsia="方正仿宋_GB2312" w:cs="方正仿宋_GB2312"/>
                              <w:sz w:val="28"/>
                              <w:szCs w:val="28"/>
                            </w:rPr>
                            <w:t>1</w:t>
                          </w:r>
                          <w:r>
                            <w:rPr>
                              <w:rFonts w:hint="eastAsia" w:ascii="方正仿宋_GB2312" w:hAnsi="方正仿宋_GB2312" w:eastAsia="方正仿宋_GB2312" w:cs="方正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B8DACDE">
                    <w:pPr>
                      <w:pStyle w:val="4"/>
                    </w:pPr>
                    <w:r>
                      <w:rPr>
                        <w:rFonts w:hint="eastAsia" w:ascii="方正仿宋_GB2312" w:hAnsi="方正仿宋_GB2312" w:eastAsia="方正仿宋_GB2312" w:cs="方正仿宋_GB2312"/>
                        <w:sz w:val="28"/>
                        <w:szCs w:val="28"/>
                      </w:rPr>
                      <w:fldChar w:fldCharType="begin"/>
                    </w:r>
                    <w:r>
                      <w:rPr>
                        <w:rFonts w:hint="eastAsia" w:ascii="方正仿宋_GB2312" w:hAnsi="方正仿宋_GB2312" w:eastAsia="方正仿宋_GB2312" w:cs="方正仿宋_GB2312"/>
                        <w:sz w:val="28"/>
                        <w:szCs w:val="28"/>
                      </w:rPr>
                      <w:instrText xml:space="preserve"> PAGE  \* MERGEFORMAT </w:instrText>
                    </w:r>
                    <w:r>
                      <w:rPr>
                        <w:rFonts w:hint="eastAsia" w:ascii="方正仿宋_GB2312" w:hAnsi="方正仿宋_GB2312" w:eastAsia="方正仿宋_GB2312" w:cs="方正仿宋_GB2312"/>
                        <w:sz w:val="28"/>
                        <w:szCs w:val="28"/>
                      </w:rPr>
                      <w:fldChar w:fldCharType="separate"/>
                    </w:r>
                    <w:r>
                      <w:rPr>
                        <w:rFonts w:hint="eastAsia" w:ascii="方正仿宋_GB2312" w:hAnsi="方正仿宋_GB2312" w:eastAsia="方正仿宋_GB2312" w:cs="方正仿宋_GB2312"/>
                        <w:sz w:val="28"/>
                        <w:szCs w:val="28"/>
                      </w:rPr>
                      <w:t>1</w:t>
                    </w:r>
                    <w:r>
                      <w:rPr>
                        <w:rFonts w:hint="eastAsia" w:ascii="方正仿宋_GB2312" w:hAnsi="方正仿宋_GB2312" w:eastAsia="方正仿宋_GB2312" w:cs="方正仿宋_GB2312"/>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DA6C68"/>
    <w:multiLevelType w:val="singleLevel"/>
    <w:tmpl w:val="9DDA6C68"/>
    <w:lvl w:ilvl="0" w:tentative="0">
      <w:start w:val="8"/>
      <w:numFmt w:val="chineseCounting"/>
      <w:suff w:val="nothing"/>
      <w:lvlText w:val="%1、"/>
      <w:lvlJc w:val="left"/>
      <w:rPr>
        <w:rFonts w:hint="eastAsia"/>
      </w:rPr>
    </w:lvl>
  </w:abstractNum>
  <w:abstractNum w:abstractNumId="1">
    <w:nsid w:val="C39E4C1F"/>
    <w:multiLevelType w:val="singleLevel"/>
    <w:tmpl w:val="C39E4C1F"/>
    <w:lvl w:ilvl="0" w:tentative="0">
      <w:start w:val="4"/>
      <w:numFmt w:val="chineseCounting"/>
      <w:suff w:val="nothing"/>
      <w:lvlText w:val="（%1）"/>
      <w:lvlJc w:val="left"/>
      <w:pPr>
        <w:ind w:left="420"/>
      </w:pPr>
      <w:rPr>
        <w:rFonts w:hint="eastAsia"/>
      </w:rPr>
    </w:lvl>
  </w:abstractNum>
  <w:abstractNum w:abstractNumId="2">
    <w:nsid w:val="CCFD98C0"/>
    <w:multiLevelType w:val="singleLevel"/>
    <w:tmpl w:val="CCFD98C0"/>
    <w:lvl w:ilvl="0" w:tentative="0">
      <w:start w:val="4"/>
      <w:numFmt w:val="chineseCounting"/>
      <w:suff w:val="nothing"/>
      <w:lvlText w:val="%1、"/>
      <w:lvlJc w:val="left"/>
      <w:rPr>
        <w:rFonts w:hint="eastAsia"/>
      </w:rPr>
    </w:lvl>
  </w:abstractNum>
  <w:abstractNum w:abstractNumId="3">
    <w:nsid w:val="D237B8BB"/>
    <w:multiLevelType w:val="singleLevel"/>
    <w:tmpl w:val="D237B8BB"/>
    <w:lvl w:ilvl="0" w:tentative="0">
      <w:start w:val="7"/>
      <w:numFmt w:val="chineseCounting"/>
      <w:suff w:val="nothing"/>
      <w:lvlText w:val="%1、"/>
      <w:lvlJc w:val="left"/>
      <w:rPr>
        <w:rFonts w:hint="eastAsia"/>
      </w:rPr>
    </w:lvl>
  </w:abstractNum>
  <w:abstractNum w:abstractNumId="4">
    <w:nsid w:val="DE350C7C"/>
    <w:multiLevelType w:val="singleLevel"/>
    <w:tmpl w:val="DE350C7C"/>
    <w:lvl w:ilvl="0" w:tentative="0">
      <w:start w:val="6"/>
      <w:numFmt w:val="decimal"/>
      <w:suff w:val="nothing"/>
      <w:lvlText w:val="（%1）"/>
      <w:lvlJc w:val="left"/>
    </w:lvl>
  </w:abstractNum>
  <w:abstractNum w:abstractNumId="5">
    <w:nsid w:val="1116719D"/>
    <w:multiLevelType w:val="singleLevel"/>
    <w:tmpl w:val="1116719D"/>
    <w:lvl w:ilvl="0" w:tentative="0">
      <w:start w:val="2"/>
      <w:numFmt w:val="decimal"/>
      <w:suff w:val="nothing"/>
      <w:lvlText w:val="（%1）"/>
      <w:lvlJc w:val="left"/>
    </w:lvl>
  </w:abstractNum>
  <w:abstractNum w:abstractNumId="6">
    <w:nsid w:val="5181DDDB"/>
    <w:multiLevelType w:val="singleLevel"/>
    <w:tmpl w:val="5181DDDB"/>
    <w:lvl w:ilvl="0" w:tentative="0">
      <w:start w:val="2"/>
      <w:numFmt w:val="decimal"/>
      <w:lvlText w:val="%1."/>
      <w:lvlJc w:val="left"/>
      <w:pPr>
        <w:tabs>
          <w:tab w:val="left" w:pos="312"/>
        </w:tabs>
      </w:pPr>
    </w:lvl>
  </w:abstractNum>
  <w:num w:numId="1">
    <w:abstractNumId w:val="1"/>
  </w:num>
  <w:num w:numId="2">
    <w:abstractNumId w:val="6"/>
  </w:num>
  <w:num w:numId="3">
    <w:abstractNumId w:val="2"/>
  </w:num>
  <w:num w:numId="4">
    <w:abstractNumId w:val="4"/>
  </w:num>
  <w:num w:numId="5">
    <w:abstractNumId w:val="5"/>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wYTI3MGMzMjY2ZjgyNjI0YTJmYjU0MTAyNWQyOWEifQ=="/>
    <w:docVar w:name="KSO_WPS_MARK_KEY" w:val="9920a277-c0c3-43b4-93d3-1636fe398e0b"/>
  </w:docVars>
  <w:rsids>
    <w:rsidRoot w:val="753C4E9B"/>
    <w:rsid w:val="000730AB"/>
    <w:rsid w:val="00076791"/>
    <w:rsid w:val="001113BD"/>
    <w:rsid w:val="00294959"/>
    <w:rsid w:val="00305CE7"/>
    <w:rsid w:val="00704336"/>
    <w:rsid w:val="008D138C"/>
    <w:rsid w:val="009F37E3"/>
    <w:rsid w:val="00C91C98"/>
    <w:rsid w:val="00FB4547"/>
    <w:rsid w:val="01017684"/>
    <w:rsid w:val="010318AF"/>
    <w:rsid w:val="01103DA9"/>
    <w:rsid w:val="011C44BE"/>
    <w:rsid w:val="01282E62"/>
    <w:rsid w:val="012A0989"/>
    <w:rsid w:val="014118FA"/>
    <w:rsid w:val="01533740"/>
    <w:rsid w:val="016814B1"/>
    <w:rsid w:val="016A306B"/>
    <w:rsid w:val="018A58CB"/>
    <w:rsid w:val="01910FAA"/>
    <w:rsid w:val="01944B97"/>
    <w:rsid w:val="01A07539"/>
    <w:rsid w:val="01C761D7"/>
    <w:rsid w:val="01D84888"/>
    <w:rsid w:val="01FF0C14"/>
    <w:rsid w:val="02273690"/>
    <w:rsid w:val="023575E5"/>
    <w:rsid w:val="02580556"/>
    <w:rsid w:val="0264611C"/>
    <w:rsid w:val="026C6D7F"/>
    <w:rsid w:val="027F2F56"/>
    <w:rsid w:val="028642E4"/>
    <w:rsid w:val="02CD1F13"/>
    <w:rsid w:val="03035935"/>
    <w:rsid w:val="031D5683"/>
    <w:rsid w:val="03200295"/>
    <w:rsid w:val="03231B33"/>
    <w:rsid w:val="032A1114"/>
    <w:rsid w:val="033E696D"/>
    <w:rsid w:val="03451AAA"/>
    <w:rsid w:val="034C10AB"/>
    <w:rsid w:val="035D09BA"/>
    <w:rsid w:val="036363D4"/>
    <w:rsid w:val="036A59B4"/>
    <w:rsid w:val="037203C5"/>
    <w:rsid w:val="0379035B"/>
    <w:rsid w:val="037B371D"/>
    <w:rsid w:val="03B22EB7"/>
    <w:rsid w:val="03B44E81"/>
    <w:rsid w:val="03E07A24"/>
    <w:rsid w:val="041F679F"/>
    <w:rsid w:val="04275653"/>
    <w:rsid w:val="046C4ECF"/>
    <w:rsid w:val="04A42800"/>
    <w:rsid w:val="04DA45F1"/>
    <w:rsid w:val="054B5371"/>
    <w:rsid w:val="057523EE"/>
    <w:rsid w:val="058D14E6"/>
    <w:rsid w:val="05BB6053"/>
    <w:rsid w:val="05BE78F1"/>
    <w:rsid w:val="05D90BCF"/>
    <w:rsid w:val="05E95AA6"/>
    <w:rsid w:val="06316315"/>
    <w:rsid w:val="066E30C6"/>
    <w:rsid w:val="067D155B"/>
    <w:rsid w:val="06B37672"/>
    <w:rsid w:val="06B64A6C"/>
    <w:rsid w:val="06BA630B"/>
    <w:rsid w:val="06C60237"/>
    <w:rsid w:val="06CB49BC"/>
    <w:rsid w:val="06F7755F"/>
    <w:rsid w:val="07412728"/>
    <w:rsid w:val="074F1149"/>
    <w:rsid w:val="076D15CF"/>
    <w:rsid w:val="07983134"/>
    <w:rsid w:val="07A11279"/>
    <w:rsid w:val="07AA110E"/>
    <w:rsid w:val="07D72EEC"/>
    <w:rsid w:val="07FE66CB"/>
    <w:rsid w:val="08316AA1"/>
    <w:rsid w:val="08327D56"/>
    <w:rsid w:val="0840235A"/>
    <w:rsid w:val="08485B98"/>
    <w:rsid w:val="085A5FF7"/>
    <w:rsid w:val="087D5842"/>
    <w:rsid w:val="088272FC"/>
    <w:rsid w:val="08896D5B"/>
    <w:rsid w:val="08940DDD"/>
    <w:rsid w:val="0935436E"/>
    <w:rsid w:val="093E76C7"/>
    <w:rsid w:val="094D579B"/>
    <w:rsid w:val="09616F12"/>
    <w:rsid w:val="09A339CE"/>
    <w:rsid w:val="09D73678"/>
    <w:rsid w:val="0A03446D"/>
    <w:rsid w:val="0A27015B"/>
    <w:rsid w:val="0A332338"/>
    <w:rsid w:val="0A406813"/>
    <w:rsid w:val="0A4D7496"/>
    <w:rsid w:val="0A544CC8"/>
    <w:rsid w:val="0A806D98"/>
    <w:rsid w:val="0A9B28F7"/>
    <w:rsid w:val="0AA90B70"/>
    <w:rsid w:val="0AD100C7"/>
    <w:rsid w:val="0AE24082"/>
    <w:rsid w:val="0AEE2A27"/>
    <w:rsid w:val="0AF049F1"/>
    <w:rsid w:val="0B0009AC"/>
    <w:rsid w:val="0B04020E"/>
    <w:rsid w:val="0B0E30C9"/>
    <w:rsid w:val="0B183F48"/>
    <w:rsid w:val="0B2B77D7"/>
    <w:rsid w:val="0B3577E5"/>
    <w:rsid w:val="0B73117E"/>
    <w:rsid w:val="0B8B64C8"/>
    <w:rsid w:val="0BD47E6F"/>
    <w:rsid w:val="0C180A78"/>
    <w:rsid w:val="0C3B7EEE"/>
    <w:rsid w:val="0C670CE3"/>
    <w:rsid w:val="0C6E02C3"/>
    <w:rsid w:val="0C7E7DDA"/>
    <w:rsid w:val="0C936BC5"/>
    <w:rsid w:val="0C9F66CF"/>
    <w:rsid w:val="0CA535B9"/>
    <w:rsid w:val="0CB16402"/>
    <w:rsid w:val="0CBD0903"/>
    <w:rsid w:val="0CE560AB"/>
    <w:rsid w:val="0CF30828"/>
    <w:rsid w:val="0CFA3905"/>
    <w:rsid w:val="0D1C7D1F"/>
    <w:rsid w:val="0D23266F"/>
    <w:rsid w:val="0D276746"/>
    <w:rsid w:val="0D452386"/>
    <w:rsid w:val="0D464D9C"/>
    <w:rsid w:val="0D4E75B4"/>
    <w:rsid w:val="0D5F19BA"/>
    <w:rsid w:val="0D870F11"/>
    <w:rsid w:val="0D8C6527"/>
    <w:rsid w:val="0D9553DC"/>
    <w:rsid w:val="0DD52794"/>
    <w:rsid w:val="0DEB14A0"/>
    <w:rsid w:val="0E5232CD"/>
    <w:rsid w:val="0E855450"/>
    <w:rsid w:val="0E87741A"/>
    <w:rsid w:val="0E956870"/>
    <w:rsid w:val="0EA31D7A"/>
    <w:rsid w:val="0EB14497"/>
    <w:rsid w:val="0EB67808"/>
    <w:rsid w:val="0EBD6D0A"/>
    <w:rsid w:val="0EC248F6"/>
    <w:rsid w:val="0ED24AE4"/>
    <w:rsid w:val="0ED62150"/>
    <w:rsid w:val="0EDE5E09"/>
    <w:rsid w:val="0EE91E83"/>
    <w:rsid w:val="0EF44384"/>
    <w:rsid w:val="0EF83E74"/>
    <w:rsid w:val="0F0C791F"/>
    <w:rsid w:val="0F53554E"/>
    <w:rsid w:val="0F812650"/>
    <w:rsid w:val="0FAB7138"/>
    <w:rsid w:val="0FB91882"/>
    <w:rsid w:val="0FBD0C1A"/>
    <w:rsid w:val="0FD06C62"/>
    <w:rsid w:val="101D6766"/>
    <w:rsid w:val="10234F21"/>
    <w:rsid w:val="103C5FE2"/>
    <w:rsid w:val="104A6951"/>
    <w:rsid w:val="105A290D"/>
    <w:rsid w:val="108D683E"/>
    <w:rsid w:val="10C666A5"/>
    <w:rsid w:val="10C81F6C"/>
    <w:rsid w:val="10EC17B7"/>
    <w:rsid w:val="10F22B45"/>
    <w:rsid w:val="10FB5E9E"/>
    <w:rsid w:val="11140D0D"/>
    <w:rsid w:val="117F087D"/>
    <w:rsid w:val="118E0AC0"/>
    <w:rsid w:val="119836EC"/>
    <w:rsid w:val="11A77DD3"/>
    <w:rsid w:val="11C75D80"/>
    <w:rsid w:val="11D54941"/>
    <w:rsid w:val="12042B30"/>
    <w:rsid w:val="12086AC4"/>
    <w:rsid w:val="12105979"/>
    <w:rsid w:val="1223366A"/>
    <w:rsid w:val="122359BE"/>
    <w:rsid w:val="12463148"/>
    <w:rsid w:val="126161D4"/>
    <w:rsid w:val="12661A3D"/>
    <w:rsid w:val="12751C80"/>
    <w:rsid w:val="12837EF9"/>
    <w:rsid w:val="1299771C"/>
    <w:rsid w:val="12C7072D"/>
    <w:rsid w:val="130059ED"/>
    <w:rsid w:val="130848A2"/>
    <w:rsid w:val="130A3724"/>
    <w:rsid w:val="13653AA2"/>
    <w:rsid w:val="136917E4"/>
    <w:rsid w:val="13A46857"/>
    <w:rsid w:val="13B65E3E"/>
    <w:rsid w:val="13C24A51"/>
    <w:rsid w:val="13C7475D"/>
    <w:rsid w:val="13D053C0"/>
    <w:rsid w:val="13E44C8F"/>
    <w:rsid w:val="13EC5F71"/>
    <w:rsid w:val="13F13588"/>
    <w:rsid w:val="14117786"/>
    <w:rsid w:val="142E0338"/>
    <w:rsid w:val="14333BA0"/>
    <w:rsid w:val="143877FD"/>
    <w:rsid w:val="143F60A1"/>
    <w:rsid w:val="147D6BCA"/>
    <w:rsid w:val="14860F5C"/>
    <w:rsid w:val="1494463F"/>
    <w:rsid w:val="149840F4"/>
    <w:rsid w:val="14AA20B4"/>
    <w:rsid w:val="14C33176"/>
    <w:rsid w:val="14F0383F"/>
    <w:rsid w:val="15064E11"/>
    <w:rsid w:val="151237B6"/>
    <w:rsid w:val="152A6D51"/>
    <w:rsid w:val="1552409B"/>
    <w:rsid w:val="15595889"/>
    <w:rsid w:val="15997A33"/>
    <w:rsid w:val="15EE5FD1"/>
    <w:rsid w:val="15EF3AF7"/>
    <w:rsid w:val="160475A2"/>
    <w:rsid w:val="161B15A8"/>
    <w:rsid w:val="161C1F83"/>
    <w:rsid w:val="163559AE"/>
    <w:rsid w:val="16377978"/>
    <w:rsid w:val="163A7468"/>
    <w:rsid w:val="164E6A70"/>
    <w:rsid w:val="165A3666"/>
    <w:rsid w:val="1666200B"/>
    <w:rsid w:val="166C5148"/>
    <w:rsid w:val="16A82624"/>
    <w:rsid w:val="16B014D8"/>
    <w:rsid w:val="16B34B25"/>
    <w:rsid w:val="16C1058F"/>
    <w:rsid w:val="17072A03"/>
    <w:rsid w:val="17101F77"/>
    <w:rsid w:val="17237EFC"/>
    <w:rsid w:val="172C5003"/>
    <w:rsid w:val="176D73C9"/>
    <w:rsid w:val="177009C8"/>
    <w:rsid w:val="17800EAB"/>
    <w:rsid w:val="17966920"/>
    <w:rsid w:val="17A32DEB"/>
    <w:rsid w:val="17A50911"/>
    <w:rsid w:val="17B9260F"/>
    <w:rsid w:val="17D93D3A"/>
    <w:rsid w:val="17E70F2A"/>
    <w:rsid w:val="17F12F10"/>
    <w:rsid w:val="17FE0021"/>
    <w:rsid w:val="18025D64"/>
    <w:rsid w:val="18770500"/>
    <w:rsid w:val="187D188E"/>
    <w:rsid w:val="188E75F7"/>
    <w:rsid w:val="18E67433"/>
    <w:rsid w:val="190B6E9A"/>
    <w:rsid w:val="191E4E1F"/>
    <w:rsid w:val="19434886"/>
    <w:rsid w:val="19516FA3"/>
    <w:rsid w:val="198729C4"/>
    <w:rsid w:val="19A03A86"/>
    <w:rsid w:val="19A54BF8"/>
    <w:rsid w:val="19C71013"/>
    <w:rsid w:val="19DE010A"/>
    <w:rsid w:val="19E805B2"/>
    <w:rsid w:val="1A1C446E"/>
    <w:rsid w:val="1A226249"/>
    <w:rsid w:val="1A4E34E2"/>
    <w:rsid w:val="1A5328A6"/>
    <w:rsid w:val="1A8C400A"/>
    <w:rsid w:val="1ABC48F0"/>
    <w:rsid w:val="1ACE4623"/>
    <w:rsid w:val="1AD0039B"/>
    <w:rsid w:val="1AFC1190"/>
    <w:rsid w:val="1B024856"/>
    <w:rsid w:val="1B302BE8"/>
    <w:rsid w:val="1B373F76"/>
    <w:rsid w:val="1B866CAC"/>
    <w:rsid w:val="1B966EEF"/>
    <w:rsid w:val="1B972C67"/>
    <w:rsid w:val="1BB455C7"/>
    <w:rsid w:val="1BC17CE4"/>
    <w:rsid w:val="1BC82E20"/>
    <w:rsid w:val="1BFC2ACA"/>
    <w:rsid w:val="1C1918CE"/>
    <w:rsid w:val="1C19367C"/>
    <w:rsid w:val="1C387FA6"/>
    <w:rsid w:val="1C4921B3"/>
    <w:rsid w:val="1C4A5F2B"/>
    <w:rsid w:val="1C626DD1"/>
    <w:rsid w:val="1C7A05BE"/>
    <w:rsid w:val="1C9553F8"/>
    <w:rsid w:val="1CC146AF"/>
    <w:rsid w:val="1CC57360"/>
    <w:rsid w:val="1CC730D8"/>
    <w:rsid w:val="1D13631D"/>
    <w:rsid w:val="1D41732E"/>
    <w:rsid w:val="1D6C26E5"/>
    <w:rsid w:val="1D7274E7"/>
    <w:rsid w:val="1D76522A"/>
    <w:rsid w:val="1D7B2840"/>
    <w:rsid w:val="1D8D2573"/>
    <w:rsid w:val="1D927673"/>
    <w:rsid w:val="1DAD0520"/>
    <w:rsid w:val="1DB418AE"/>
    <w:rsid w:val="1DBE44DB"/>
    <w:rsid w:val="1DC615E1"/>
    <w:rsid w:val="1DF55E7A"/>
    <w:rsid w:val="1DF93765"/>
    <w:rsid w:val="1E403142"/>
    <w:rsid w:val="1E4C7D38"/>
    <w:rsid w:val="1E6908EA"/>
    <w:rsid w:val="1E82375A"/>
    <w:rsid w:val="1E9516DF"/>
    <w:rsid w:val="1EF503D0"/>
    <w:rsid w:val="1F046865"/>
    <w:rsid w:val="1F1B770B"/>
    <w:rsid w:val="1F1F71FB"/>
    <w:rsid w:val="1F291E28"/>
    <w:rsid w:val="1F2B537E"/>
    <w:rsid w:val="1F374545"/>
    <w:rsid w:val="1F3C7DAD"/>
    <w:rsid w:val="1F600A03"/>
    <w:rsid w:val="1F6D797E"/>
    <w:rsid w:val="1F710084"/>
    <w:rsid w:val="1F784B5D"/>
    <w:rsid w:val="1F8A4FBC"/>
    <w:rsid w:val="1F95570F"/>
    <w:rsid w:val="1FC35DD8"/>
    <w:rsid w:val="1FD9384E"/>
    <w:rsid w:val="1FE461F5"/>
    <w:rsid w:val="201C198C"/>
    <w:rsid w:val="203C6565"/>
    <w:rsid w:val="204607B7"/>
    <w:rsid w:val="20484530"/>
    <w:rsid w:val="20515ADA"/>
    <w:rsid w:val="20694682"/>
    <w:rsid w:val="20CD585E"/>
    <w:rsid w:val="20D52267"/>
    <w:rsid w:val="20D6344D"/>
    <w:rsid w:val="20D65FDF"/>
    <w:rsid w:val="20EE3329"/>
    <w:rsid w:val="20F546B7"/>
    <w:rsid w:val="20F63F8C"/>
    <w:rsid w:val="20FA7F20"/>
    <w:rsid w:val="21093CBF"/>
    <w:rsid w:val="210D6AF8"/>
    <w:rsid w:val="211014F1"/>
    <w:rsid w:val="21224D81"/>
    <w:rsid w:val="212925B3"/>
    <w:rsid w:val="213E5DC2"/>
    <w:rsid w:val="214D3EA1"/>
    <w:rsid w:val="215B0293"/>
    <w:rsid w:val="217429A0"/>
    <w:rsid w:val="21997739"/>
    <w:rsid w:val="21BF6A73"/>
    <w:rsid w:val="21CB5418"/>
    <w:rsid w:val="21D748D6"/>
    <w:rsid w:val="21F4671D"/>
    <w:rsid w:val="220F3557"/>
    <w:rsid w:val="22161381"/>
    <w:rsid w:val="221768AF"/>
    <w:rsid w:val="222A65E3"/>
    <w:rsid w:val="22327D5C"/>
    <w:rsid w:val="22456F79"/>
    <w:rsid w:val="224B0307"/>
    <w:rsid w:val="227E6ED8"/>
    <w:rsid w:val="22BB2662"/>
    <w:rsid w:val="22BB36DF"/>
    <w:rsid w:val="22C04851"/>
    <w:rsid w:val="22CC769A"/>
    <w:rsid w:val="22E5075C"/>
    <w:rsid w:val="22FE234B"/>
    <w:rsid w:val="230010F2"/>
    <w:rsid w:val="230C3F3A"/>
    <w:rsid w:val="232E5C5F"/>
    <w:rsid w:val="2393640A"/>
    <w:rsid w:val="239D2DE4"/>
    <w:rsid w:val="239F4DAE"/>
    <w:rsid w:val="23A221A9"/>
    <w:rsid w:val="23D34A58"/>
    <w:rsid w:val="240B41F2"/>
    <w:rsid w:val="24262DDA"/>
    <w:rsid w:val="242D466D"/>
    <w:rsid w:val="243A0633"/>
    <w:rsid w:val="24431BDE"/>
    <w:rsid w:val="244C398B"/>
    <w:rsid w:val="244D7667"/>
    <w:rsid w:val="2472601F"/>
    <w:rsid w:val="24C543A1"/>
    <w:rsid w:val="24D25C3B"/>
    <w:rsid w:val="24D80578"/>
    <w:rsid w:val="25407ECB"/>
    <w:rsid w:val="25643BBA"/>
    <w:rsid w:val="25C24D84"/>
    <w:rsid w:val="25D02FFD"/>
    <w:rsid w:val="25E940BF"/>
    <w:rsid w:val="25F25669"/>
    <w:rsid w:val="261C26E6"/>
    <w:rsid w:val="26484C80"/>
    <w:rsid w:val="264D464E"/>
    <w:rsid w:val="26E054C2"/>
    <w:rsid w:val="26EC20B9"/>
    <w:rsid w:val="27637EA1"/>
    <w:rsid w:val="277246F6"/>
    <w:rsid w:val="277E6F02"/>
    <w:rsid w:val="27A44741"/>
    <w:rsid w:val="27B84691"/>
    <w:rsid w:val="27BA6BDA"/>
    <w:rsid w:val="27E15995"/>
    <w:rsid w:val="27E64D5A"/>
    <w:rsid w:val="280E2503"/>
    <w:rsid w:val="286E6AFD"/>
    <w:rsid w:val="287D5A0E"/>
    <w:rsid w:val="288325A9"/>
    <w:rsid w:val="289B1FE8"/>
    <w:rsid w:val="289F315B"/>
    <w:rsid w:val="28BC3D0D"/>
    <w:rsid w:val="29084CD8"/>
    <w:rsid w:val="290851A4"/>
    <w:rsid w:val="29235E08"/>
    <w:rsid w:val="29477A7A"/>
    <w:rsid w:val="29543F45"/>
    <w:rsid w:val="295F5E6C"/>
    <w:rsid w:val="29990575"/>
    <w:rsid w:val="299D3B3E"/>
    <w:rsid w:val="29A24CB1"/>
    <w:rsid w:val="29D03297"/>
    <w:rsid w:val="29E90B31"/>
    <w:rsid w:val="2A0400B7"/>
    <w:rsid w:val="2A4915D0"/>
    <w:rsid w:val="2A763EFD"/>
    <w:rsid w:val="2A832D34"/>
    <w:rsid w:val="2A9767DF"/>
    <w:rsid w:val="2AAF53BA"/>
    <w:rsid w:val="2ACF5F58"/>
    <w:rsid w:val="2AE348EF"/>
    <w:rsid w:val="2AF6742D"/>
    <w:rsid w:val="2B193698"/>
    <w:rsid w:val="2B397896"/>
    <w:rsid w:val="2B5B5A5F"/>
    <w:rsid w:val="2B603075"/>
    <w:rsid w:val="2BC43604"/>
    <w:rsid w:val="2BCB5CDB"/>
    <w:rsid w:val="2BEC4909"/>
    <w:rsid w:val="2BEC66B7"/>
    <w:rsid w:val="2C363DD6"/>
    <w:rsid w:val="2C4D184B"/>
    <w:rsid w:val="2C7768C8"/>
    <w:rsid w:val="2C866B0B"/>
    <w:rsid w:val="2C8B4122"/>
    <w:rsid w:val="2C8C692E"/>
    <w:rsid w:val="2C9F7BCD"/>
    <w:rsid w:val="2CA3146B"/>
    <w:rsid w:val="2CA451E4"/>
    <w:rsid w:val="2CC203FD"/>
    <w:rsid w:val="2CC45DDB"/>
    <w:rsid w:val="2CEB2E12"/>
    <w:rsid w:val="2CEF46B1"/>
    <w:rsid w:val="2CEF4A11"/>
    <w:rsid w:val="2CF62FBE"/>
    <w:rsid w:val="2D12214D"/>
    <w:rsid w:val="2D355E3C"/>
    <w:rsid w:val="2D46629B"/>
    <w:rsid w:val="2D5E35E4"/>
    <w:rsid w:val="2D720E3E"/>
    <w:rsid w:val="2D8C63A3"/>
    <w:rsid w:val="2D9862F2"/>
    <w:rsid w:val="2DD37B2E"/>
    <w:rsid w:val="2E0C227D"/>
    <w:rsid w:val="2E314855"/>
    <w:rsid w:val="2E5D1AEE"/>
    <w:rsid w:val="2E5D38F8"/>
    <w:rsid w:val="2E6302E1"/>
    <w:rsid w:val="2E6C3ADF"/>
    <w:rsid w:val="2E833798"/>
    <w:rsid w:val="2EC8630A"/>
    <w:rsid w:val="2ECB2EFB"/>
    <w:rsid w:val="2ED33B5E"/>
    <w:rsid w:val="2EEB70FA"/>
    <w:rsid w:val="2F2919D0"/>
    <w:rsid w:val="2F326AD7"/>
    <w:rsid w:val="2F540059"/>
    <w:rsid w:val="2F5527C5"/>
    <w:rsid w:val="2F5600C6"/>
    <w:rsid w:val="2F5B602D"/>
    <w:rsid w:val="2F867280"/>
    <w:rsid w:val="2F8C6406"/>
    <w:rsid w:val="2FBB0F52"/>
    <w:rsid w:val="3007793C"/>
    <w:rsid w:val="301A0AE4"/>
    <w:rsid w:val="303D1BD7"/>
    <w:rsid w:val="307750E9"/>
    <w:rsid w:val="307849BD"/>
    <w:rsid w:val="30874C00"/>
    <w:rsid w:val="30AE03DF"/>
    <w:rsid w:val="30DC4F4C"/>
    <w:rsid w:val="312A2265"/>
    <w:rsid w:val="3143321D"/>
    <w:rsid w:val="31523460"/>
    <w:rsid w:val="316B59AF"/>
    <w:rsid w:val="316E7B6E"/>
    <w:rsid w:val="317C228B"/>
    <w:rsid w:val="31994BEB"/>
    <w:rsid w:val="319E4903"/>
    <w:rsid w:val="31A33CBC"/>
    <w:rsid w:val="31CF4AB1"/>
    <w:rsid w:val="31DF64D1"/>
    <w:rsid w:val="31FB7654"/>
    <w:rsid w:val="31FE0EF2"/>
    <w:rsid w:val="32180206"/>
    <w:rsid w:val="322A7F39"/>
    <w:rsid w:val="32430FFB"/>
    <w:rsid w:val="32655415"/>
    <w:rsid w:val="32A379BA"/>
    <w:rsid w:val="32E20814"/>
    <w:rsid w:val="330E785B"/>
    <w:rsid w:val="33182487"/>
    <w:rsid w:val="336B25B7"/>
    <w:rsid w:val="339F04B3"/>
    <w:rsid w:val="33BA52ED"/>
    <w:rsid w:val="33BC72B7"/>
    <w:rsid w:val="33E04D53"/>
    <w:rsid w:val="3417273F"/>
    <w:rsid w:val="342D3D10"/>
    <w:rsid w:val="34480B4A"/>
    <w:rsid w:val="34831B82"/>
    <w:rsid w:val="34873421"/>
    <w:rsid w:val="3489363D"/>
    <w:rsid w:val="348E0C53"/>
    <w:rsid w:val="34AF2977"/>
    <w:rsid w:val="34E20283"/>
    <w:rsid w:val="35374E47"/>
    <w:rsid w:val="3538296D"/>
    <w:rsid w:val="35494B7A"/>
    <w:rsid w:val="355157DD"/>
    <w:rsid w:val="355645A5"/>
    <w:rsid w:val="3566572C"/>
    <w:rsid w:val="356E2833"/>
    <w:rsid w:val="357A2F85"/>
    <w:rsid w:val="358B5193"/>
    <w:rsid w:val="358B6F41"/>
    <w:rsid w:val="35947156"/>
    <w:rsid w:val="359653B1"/>
    <w:rsid w:val="35A16764"/>
    <w:rsid w:val="35A952CD"/>
    <w:rsid w:val="35AF70D3"/>
    <w:rsid w:val="35B20971"/>
    <w:rsid w:val="35B244CD"/>
    <w:rsid w:val="35E054DE"/>
    <w:rsid w:val="35E11199"/>
    <w:rsid w:val="35EA71FC"/>
    <w:rsid w:val="35EB3E83"/>
    <w:rsid w:val="35F40F8A"/>
    <w:rsid w:val="361231BE"/>
    <w:rsid w:val="36160F00"/>
    <w:rsid w:val="36260A17"/>
    <w:rsid w:val="364315C9"/>
    <w:rsid w:val="364610BA"/>
    <w:rsid w:val="36483084"/>
    <w:rsid w:val="367B5207"/>
    <w:rsid w:val="36813075"/>
    <w:rsid w:val="36873BAC"/>
    <w:rsid w:val="36AC4A51"/>
    <w:rsid w:val="36B81FB7"/>
    <w:rsid w:val="36C02C1A"/>
    <w:rsid w:val="36D14E27"/>
    <w:rsid w:val="36D84407"/>
    <w:rsid w:val="36D93CDC"/>
    <w:rsid w:val="36FC0F5D"/>
    <w:rsid w:val="371511B8"/>
    <w:rsid w:val="373D24BC"/>
    <w:rsid w:val="37411FAD"/>
    <w:rsid w:val="375773F8"/>
    <w:rsid w:val="375810A4"/>
    <w:rsid w:val="376C4B50"/>
    <w:rsid w:val="378B147A"/>
    <w:rsid w:val="378E4AC6"/>
    <w:rsid w:val="380F5C07"/>
    <w:rsid w:val="38286D7D"/>
    <w:rsid w:val="382A0C93"/>
    <w:rsid w:val="384004B6"/>
    <w:rsid w:val="384B0C09"/>
    <w:rsid w:val="3851621F"/>
    <w:rsid w:val="386A5533"/>
    <w:rsid w:val="386D7CAB"/>
    <w:rsid w:val="38A10829"/>
    <w:rsid w:val="38A81BB8"/>
    <w:rsid w:val="38B024FA"/>
    <w:rsid w:val="38E56968"/>
    <w:rsid w:val="38F4304F"/>
    <w:rsid w:val="393B2A2C"/>
    <w:rsid w:val="393E32BB"/>
    <w:rsid w:val="394915ED"/>
    <w:rsid w:val="396E2E01"/>
    <w:rsid w:val="39A6259B"/>
    <w:rsid w:val="39E3734B"/>
    <w:rsid w:val="3A0D6176"/>
    <w:rsid w:val="3A12378C"/>
    <w:rsid w:val="3A2F2590"/>
    <w:rsid w:val="3AA46B19"/>
    <w:rsid w:val="3AB46F3A"/>
    <w:rsid w:val="3AC0768C"/>
    <w:rsid w:val="3AC3717D"/>
    <w:rsid w:val="3AD153F6"/>
    <w:rsid w:val="3AD969A0"/>
    <w:rsid w:val="3AEC222F"/>
    <w:rsid w:val="3AF37A62"/>
    <w:rsid w:val="3B070E17"/>
    <w:rsid w:val="3B0E03F8"/>
    <w:rsid w:val="3B225C51"/>
    <w:rsid w:val="3B732951"/>
    <w:rsid w:val="3B7D32FB"/>
    <w:rsid w:val="3B81506E"/>
    <w:rsid w:val="3B9A612F"/>
    <w:rsid w:val="3BA219D2"/>
    <w:rsid w:val="3BA77D5D"/>
    <w:rsid w:val="3BB865B6"/>
    <w:rsid w:val="3BE11DA1"/>
    <w:rsid w:val="3BE51B6A"/>
    <w:rsid w:val="3C352D8E"/>
    <w:rsid w:val="3C5A766D"/>
    <w:rsid w:val="3C5F2ED5"/>
    <w:rsid w:val="3C6329C5"/>
    <w:rsid w:val="3C8A61A4"/>
    <w:rsid w:val="3C926E07"/>
    <w:rsid w:val="3C9C1A33"/>
    <w:rsid w:val="3CD11AF0"/>
    <w:rsid w:val="3CF8135F"/>
    <w:rsid w:val="3D033860"/>
    <w:rsid w:val="3D22709A"/>
    <w:rsid w:val="3D4C3459"/>
    <w:rsid w:val="3D566086"/>
    <w:rsid w:val="3D6764E5"/>
    <w:rsid w:val="3DBA03C3"/>
    <w:rsid w:val="3DC76F84"/>
    <w:rsid w:val="3DDF607B"/>
    <w:rsid w:val="3E0B6E71"/>
    <w:rsid w:val="3E287A22"/>
    <w:rsid w:val="3E2972F7"/>
    <w:rsid w:val="3E4F22C8"/>
    <w:rsid w:val="3E7A2248"/>
    <w:rsid w:val="3E9A01F4"/>
    <w:rsid w:val="3EBF1323"/>
    <w:rsid w:val="3EF26D09"/>
    <w:rsid w:val="3F2427B4"/>
    <w:rsid w:val="3F604F9A"/>
    <w:rsid w:val="3FB5178A"/>
    <w:rsid w:val="3FB62E0C"/>
    <w:rsid w:val="3FBD3A84"/>
    <w:rsid w:val="3FEC132C"/>
    <w:rsid w:val="3FF7649D"/>
    <w:rsid w:val="3FF81676"/>
    <w:rsid w:val="3FFA0F4B"/>
    <w:rsid w:val="4001677D"/>
    <w:rsid w:val="4070745F"/>
    <w:rsid w:val="40917105"/>
    <w:rsid w:val="40C94DC1"/>
    <w:rsid w:val="40D43E92"/>
    <w:rsid w:val="40E816EB"/>
    <w:rsid w:val="40FE2CBD"/>
    <w:rsid w:val="410302D3"/>
    <w:rsid w:val="411058C0"/>
    <w:rsid w:val="41326E0A"/>
    <w:rsid w:val="4136635A"/>
    <w:rsid w:val="415B010F"/>
    <w:rsid w:val="41686388"/>
    <w:rsid w:val="41727207"/>
    <w:rsid w:val="417967E7"/>
    <w:rsid w:val="418D5DEE"/>
    <w:rsid w:val="419929E5"/>
    <w:rsid w:val="419B2857"/>
    <w:rsid w:val="41BF069E"/>
    <w:rsid w:val="41CC6917"/>
    <w:rsid w:val="41D71DA8"/>
    <w:rsid w:val="41DB1250"/>
    <w:rsid w:val="41F61BE6"/>
    <w:rsid w:val="422051D1"/>
    <w:rsid w:val="422449A5"/>
    <w:rsid w:val="42350960"/>
    <w:rsid w:val="423D2C52"/>
    <w:rsid w:val="42601716"/>
    <w:rsid w:val="42621029"/>
    <w:rsid w:val="42641245"/>
    <w:rsid w:val="42701998"/>
    <w:rsid w:val="42770F78"/>
    <w:rsid w:val="42845443"/>
    <w:rsid w:val="42AB6E74"/>
    <w:rsid w:val="42BF46CD"/>
    <w:rsid w:val="42ED123B"/>
    <w:rsid w:val="42FB3958"/>
    <w:rsid w:val="432946E3"/>
    <w:rsid w:val="43370708"/>
    <w:rsid w:val="43374264"/>
    <w:rsid w:val="43430E5B"/>
    <w:rsid w:val="434846C3"/>
    <w:rsid w:val="43615785"/>
    <w:rsid w:val="438020AF"/>
    <w:rsid w:val="438F22F2"/>
    <w:rsid w:val="439E0787"/>
    <w:rsid w:val="43B72A5F"/>
    <w:rsid w:val="43E77A38"/>
    <w:rsid w:val="43EF2D90"/>
    <w:rsid w:val="43F860E9"/>
    <w:rsid w:val="44185E43"/>
    <w:rsid w:val="443D3AFC"/>
    <w:rsid w:val="448636F5"/>
    <w:rsid w:val="449621A5"/>
    <w:rsid w:val="44AB4F09"/>
    <w:rsid w:val="44CB1108"/>
    <w:rsid w:val="44CB735A"/>
    <w:rsid w:val="44DC50C3"/>
    <w:rsid w:val="450F0D71"/>
    <w:rsid w:val="45280308"/>
    <w:rsid w:val="45294080"/>
    <w:rsid w:val="45675CA0"/>
    <w:rsid w:val="457479F1"/>
    <w:rsid w:val="45815C6A"/>
    <w:rsid w:val="45A81449"/>
    <w:rsid w:val="45AB2CE7"/>
    <w:rsid w:val="45B93656"/>
    <w:rsid w:val="45C02C36"/>
    <w:rsid w:val="45D16BF2"/>
    <w:rsid w:val="45EE3B0F"/>
    <w:rsid w:val="461807D7"/>
    <w:rsid w:val="46366A55"/>
    <w:rsid w:val="463D7DE3"/>
    <w:rsid w:val="46445615"/>
    <w:rsid w:val="469320F9"/>
    <w:rsid w:val="469A5235"/>
    <w:rsid w:val="469D6AD4"/>
    <w:rsid w:val="46B61944"/>
    <w:rsid w:val="46CB53EF"/>
    <w:rsid w:val="46D324F5"/>
    <w:rsid w:val="46F04E55"/>
    <w:rsid w:val="47557093"/>
    <w:rsid w:val="47961EA1"/>
    <w:rsid w:val="47B265AF"/>
    <w:rsid w:val="47C156F6"/>
    <w:rsid w:val="47C702AC"/>
    <w:rsid w:val="47D209FF"/>
    <w:rsid w:val="48054931"/>
    <w:rsid w:val="482A083B"/>
    <w:rsid w:val="487B1097"/>
    <w:rsid w:val="4884619D"/>
    <w:rsid w:val="489A151D"/>
    <w:rsid w:val="48BC5B0D"/>
    <w:rsid w:val="48C90054"/>
    <w:rsid w:val="48DB12BD"/>
    <w:rsid w:val="49060BED"/>
    <w:rsid w:val="491017DF"/>
    <w:rsid w:val="492928A1"/>
    <w:rsid w:val="49445445"/>
    <w:rsid w:val="4948541D"/>
    <w:rsid w:val="495C67D2"/>
    <w:rsid w:val="495E69EE"/>
    <w:rsid w:val="496F29A9"/>
    <w:rsid w:val="49861AA1"/>
    <w:rsid w:val="49920446"/>
    <w:rsid w:val="49BF4FB3"/>
    <w:rsid w:val="49C212D7"/>
    <w:rsid w:val="49EF3AEA"/>
    <w:rsid w:val="49F92273"/>
    <w:rsid w:val="4A0157AA"/>
    <w:rsid w:val="4A03388E"/>
    <w:rsid w:val="4A062BE2"/>
    <w:rsid w:val="4A123335"/>
    <w:rsid w:val="4A25750C"/>
    <w:rsid w:val="4A454E67"/>
    <w:rsid w:val="4A471230"/>
    <w:rsid w:val="4A4C6847"/>
    <w:rsid w:val="4A5D4EF8"/>
    <w:rsid w:val="4A804742"/>
    <w:rsid w:val="4A857FAB"/>
    <w:rsid w:val="4ADB7BCB"/>
    <w:rsid w:val="4AEF3676"/>
    <w:rsid w:val="4AF62C56"/>
    <w:rsid w:val="4B1355B6"/>
    <w:rsid w:val="4B1A349D"/>
    <w:rsid w:val="4B352C24"/>
    <w:rsid w:val="4B5C6F5D"/>
    <w:rsid w:val="4B685902"/>
    <w:rsid w:val="4B991F60"/>
    <w:rsid w:val="4BCE772F"/>
    <w:rsid w:val="4BF90C50"/>
    <w:rsid w:val="4C013661"/>
    <w:rsid w:val="4C07336D"/>
    <w:rsid w:val="4C0C0983"/>
    <w:rsid w:val="4C1B0BC7"/>
    <w:rsid w:val="4C2757BD"/>
    <w:rsid w:val="4C341C88"/>
    <w:rsid w:val="4C6611ED"/>
    <w:rsid w:val="4C8F6EBF"/>
    <w:rsid w:val="4C995F8F"/>
    <w:rsid w:val="4CBB4158"/>
    <w:rsid w:val="4CE74F4D"/>
    <w:rsid w:val="4CEA3F34"/>
    <w:rsid w:val="4CEE0089"/>
    <w:rsid w:val="4CF17B79"/>
    <w:rsid w:val="4CF525E0"/>
    <w:rsid w:val="4D1B69A4"/>
    <w:rsid w:val="4D1F46E6"/>
    <w:rsid w:val="4D26247E"/>
    <w:rsid w:val="4D292E6F"/>
    <w:rsid w:val="4D3737BB"/>
    <w:rsid w:val="4D534390"/>
    <w:rsid w:val="4DA0113A"/>
    <w:rsid w:val="4DD873BB"/>
    <w:rsid w:val="4DDF3E76"/>
    <w:rsid w:val="4E2D698F"/>
    <w:rsid w:val="4E3E536E"/>
    <w:rsid w:val="4E5E4D9B"/>
    <w:rsid w:val="4E720846"/>
    <w:rsid w:val="4E9E163B"/>
    <w:rsid w:val="4EA053B3"/>
    <w:rsid w:val="4EB96475"/>
    <w:rsid w:val="4EBE1CDD"/>
    <w:rsid w:val="4F1B2C8C"/>
    <w:rsid w:val="4F343D4D"/>
    <w:rsid w:val="4F3B332E"/>
    <w:rsid w:val="4F42290E"/>
    <w:rsid w:val="4F4A3571"/>
    <w:rsid w:val="4F50502B"/>
    <w:rsid w:val="4F585C8E"/>
    <w:rsid w:val="4F672375"/>
    <w:rsid w:val="4F6939F7"/>
    <w:rsid w:val="4F781E8C"/>
    <w:rsid w:val="4F91113E"/>
    <w:rsid w:val="4F9A0054"/>
    <w:rsid w:val="4FCB46B2"/>
    <w:rsid w:val="4FEE65F2"/>
    <w:rsid w:val="4FF84D7B"/>
    <w:rsid w:val="502913D8"/>
    <w:rsid w:val="502B6EFE"/>
    <w:rsid w:val="502D2AA9"/>
    <w:rsid w:val="50334005"/>
    <w:rsid w:val="5035595E"/>
    <w:rsid w:val="50483F54"/>
    <w:rsid w:val="507D20FB"/>
    <w:rsid w:val="50850D04"/>
    <w:rsid w:val="509E5922"/>
    <w:rsid w:val="50A32F39"/>
    <w:rsid w:val="50A56CB1"/>
    <w:rsid w:val="50DB0924"/>
    <w:rsid w:val="50F91516"/>
    <w:rsid w:val="511C3FE5"/>
    <w:rsid w:val="51462D32"/>
    <w:rsid w:val="515626A1"/>
    <w:rsid w:val="515A1835"/>
    <w:rsid w:val="515D3A2F"/>
    <w:rsid w:val="515D758B"/>
    <w:rsid w:val="516006C6"/>
    <w:rsid w:val="519311FF"/>
    <w:rsid w:val="519B00B4"/>
    <w:rsid w:val="51EF6824"/>
    <w:rsid w:val="52181704"/>
    <w:rsid w:val="5257047F"/>
    <w:rsid w:val="525C76C9"/>
    <w:rsid w:val="52727066"/>
    <w:rsid w:val="52754DA9"/>
    <w:rsid w:val="527F1783"/>
    <w:rsid w:val="52A66D10"/>
    <w:rsid w:val="52B458D1"/>
    <w:rsid w:val="52C22179"/>
    <w:rsid w:val="52CA326F"/>
    <w:rsid w:val="52F97788"/>
    <w:rsid w:val="53081779"/>
    <w:rsid w:val="53202F66"/>
    <w:rsid w:val="53A2397B"/>
    <w:rsid w:val="53C77243"/>
    <w:rsid w:val="540006A2"/>
    <w:rsid w:val="54136627"/>
    <w:rsid w:val="54332825"/>
    <w:rsid w:val="54350EF9"/>
    <w:rsid w:val="543640C4"/>
    <w:rsid w:val="543E18F6"/>
    <w:rsid w:val="54684BC5"/>
    <w:rsid w:val="54705828"/>
    <w:rsid w:val="547F3CBD"/>
    <w:rsid w:val="548106A8"/>
    <w:rsid w:val="54971006"/>
    <w:rsid w:val="54B90F7D"/>
    <w:rsid w:val="54E65AEA"/>
    <w:rsid w:val="54E97612"/>
    <w:rsid w:val="55012924"/>
    <w:rsid w:val="550F5041"/>
    <w:rsid w:val="551C150B"/>
    <w:rsid w:val="552A0475"/>
    <w:rsid w:val="552A1E7A"/>
    <w:rsid w:val="55393E5D"/>
    <w:rsid w:val="55477AAF"/>
    <w:rsid w:val="556E620B"/>
    <w:rsid w:val="559D43FA"/>
    <w:rsid w:val="55C71477"/>
    <w:rsid w:val="55E942C0"/>
    <w:rsid w:val="55EC35D4"/>
    <w:rsid w:val="55FF6E63"/>
    <w:rsid w:val="561F12B3"/>
    <w:rsid w:val="56450370"/>
    <w:rsid w:val="568E6439"/>
    <w:rsid w:val="56933A4F"/>
    <w:rsid w:val="569752EE"/>
    <w:rsid w:val="56CB4F97"/>
    <w:rsid w:val="56D06A51"/>
    <w:rsid w:val="56DA342C"/>
    <w:rsid w:val="56E04EE6"/>
    <w:rsid w:val="56FA587C"/>
    <w:rsid w:val="571132F2"/>
    <w:rsid w:val="572A43B4"/>
    <w:rsid w:val="5737087F"/>
    <w:rsid w:val="57684EDC"/>
    <w:rsid w:val="576F626A"/>
    <w:rsid w:val="578D10CB"/>
    <w:rsid w:val="5797131D"/>
    <w:rsid w:val="579E445A"/>
    <w:rsid w:val="57AF6667"/>
    <w:rsid w:val="57C57C38"/>
    <w:rsid w:val="57E75E01"/>
    <w:rsid w:val="57F23B91"/>
    <w:rsid w:val="58055774"/>
    <w:rsid w:val="581806B0"/>
    <w:rsid w:val="582057B5"/>
    <w:rsid w:val="583848AE"/>
    <w:rsid w:val="583B7EFB"/>
    <w:rsid w:val="587A0A23"/>
    <w:rsid w:val="58906498"/>
    <w:rsid w:val="58B33F35"/>
    <w:rsid w:val="59091DA7"/>
    <w:rsid w:val="5913250F"/>
    <w:rsid w:val="596040BD"/>
    <w:rsid w:val="596F60AE"/>
    <w:rsid w:val="5976568E"/>
    <w:rsid w:val="59945B14"/>
    <w:rsid w:val="59C77C98"/>
    <w:rsid w:val="59D32AE1"/>
    <w:rsid w:val="59F643D3"/>
    <w:rsid w:val="5A1D0200"/>
    <w:rsid w:val="5A221372"/>
    <w:rsid w:val="5A405C9C"/>
    <w:rsid w:val="5A4C2893"/>
    <w:rsid w:val="5A5915AC"/>
    <w:rsid w:val="5A7476F4"/>
    <w:rsid w:val="5AA25F8B"/>
    <w:rsid w:val="5AA93841"/>
    <w:rsid w:val="5AB3021C"/>
    <w:rsid w:val="5ADD173D"/>
    <w:rsid w:val="5AE91E90"/>
    <w:rsid w:val="5AF80325"/>
    <w:rsid w:val="5B215ACE"/>
    <w:rsid w:val="5B345801"/>
    <w:rsid w:val="5B49424F"/>
    <w:rsid w:val="5B6A20DC"/>
    <w:rsid w:val="5B865931"/>
    <w:rsid w:val="5B90055D"/>
    <w:rsid w:val="5BB95D06"/>
    <w:rsid w:val="5BBD57F6"/>
    <w:rsid w:val="5BDB7A2A"/>
    <w:rsid w:val="5BF16682"/>
    <w:rsid w:val="5BF31218"/>
    <w:rsid w:val="5BFE196B"/>
    <w:rsid w:val="5C1473E0"/>
    <w:rsid w:val="5C3D2493"/>
    <w:rsid w:val="5C40596B"/>
    <w:rsid w:val="5C693288"/>
    <w:rsid w:val="5C7165E1"/>
    <w:rsid w:val="5C7834CB"/>
    <w:rsid w:val="5C78796F"/>
    <w:rsid w:val="5CC22998"/>
    <w:rsid w:val="5CD050B5"/>
    <w:rsid w:val="5CD821BC"/>
    <w:rsid w:val="5CDF354A"/>
    <w:rsid w:val="5D0B2591"/>
    <w:rsid w:val="5D1A4582"/>
    <w:rsid w:val="5D535CE6"/>
    <w:rsid w:val="5D5E4DB7"/>
    <w:rsid w:val="5D5F28DD"/>
    <w:rsid w:val="5D7F0889"/>
    <w:rsid w:val="5D8B722E"/>
    <w:rsid w:val="5D900CE9"/>
    <w:rsid w:val="5DA30A1C"/>
    <w:rsid w:val="5DB9023F"/>
    <w:rsid w:val="5DF272AD"/>
    <w:rsid w:val="5E176D14"/>
    <w:rsid w:val="5E323B4E"/>
    <w:rsid w:val="5E561924"/>
    <w:rsid w:val="5E59557E"/>
    <w:rsid w:val="5E6C3604"/>
    <w:rsid w:val="5E8C5954"/>
    <w:rsid w:val="5E9B16F3"/>
    <w:rsid w:val="5EDF21E5"/>
    <w:rsid w:val="5F3833E6"/>
    <w:rsid w:val="5F3A0F0C"/>
    <w:rsid w:val="5F4104EC"/>
    <w:rsid w:val="5F426012"/>
    <w:rsid w:val="5F8D54E0"/>
    <w:rsid w:val="5F922AF6"/>
    <w:rsid w:val="5F9F3465"/>
    <w:rsid w:val="5FCA6734"/>
    <w:rsid w:val="5FCD1D80"/>
    <w:rsid w:val="5FDC6467"/>
    <w:rsid w:val="5FEB0458"/>
    <w:rsid w:val="5FF11F12"/>
    <w:rsid w:val="5FF90DC7"/>
    <w:rsid w:val="60017C7C"/>
    <w:rsid w:val="602530D0"/>
    <w:rsid w:val="603911C4"/>
    <w:rsid w:val="60805044"/>
    <w:rsid w:val="608A7C71"/>
    <w:rsid w:val="60A8357B"/>
    <w:rsid w:val="60AC5E39"/>
    <w:rsid w:val="60B371C8"/>
    <w:rsid w:val="61066A88"/>
    <w:rsid w:val="611C2FBF"/>
    <w:rsid w:val="612400C6"/>
    <w:rsid w:val="61414AD6"/>
    <w:rsid w:val="618172C6"/>
    <w:rsid w:val="619A2136"/>
    <w:rsid w:val="61AB4343"/>
    <w:rsid w:val="61D45648"/>
    <w:rsid w:val="620D2908"/>
    <w:rsid w:val="620F48D2"/>
    <w:rsid w:val="62361E5F"/>
    <w:rsid w:val="624D53FA"/>
    <w:rsid w:val="625E3163"/>
    <w:rsid w:val="627209BD"/>
    <w:rsid w:val="628F156F"/>
    <w:rsid w:val="62922E0D"/>
    <w:rsid w:val="62A72D5C"/>
    <w:rsid w:val="62AA63A9"/>
    <w:rsid w:val="62C425BA"/>
    <w:rsid w:val="62C90F25"/>
    <w:rsid w:val="62EE2739"/>
    <w:rsid w:val="63027F93"/>
    <w:rsid w:val="631D6B7A"/>
    <w:rsid w:val="63316ACA"/>
    <w:rsid w:val="63332842"/>
    <w:rsid w:val="6356208C"/>
    <w:rsid w:val="638210D3"/>
    <w:rsid w:val="63A25534"/>
    <w:rsid w:val="63A4729C"/>
    <w:rsid w:val="63D80CF3"/>
    <w:rsid w:val="63E61662"/>
    <w:rsid w:val="63E721DF"/>
    <w:rsid w:val="63E8362C"/>
    <w:rsid w:val="640B24A8"/>
    <w:rsid w:val="641E0DFC"/>
    <w:rsid w:val="64236413"/>
    <w:rsid w:val="642D54E3"/>
    <w:rsid w:val="64B17EC2"/>
    <w:rsid w:val="64BD0615"/>
    <w:rsid w:val="64DB0A9B"/>
    <w:rsid w:val="64F14763"/>
    <w:rsid w:val="64F8789F"/>
    <w:rsid w:val="650F4BE9"/>
    <w:rsid w:val="653B3C30"/>
    <w:rsid w:val="65493C57"/>
    <w:rsid w:val="657F1F61"/>
    <w:rsid w:val="65982E30"/>
    <w:rsid w:val="65A11CE5"/>
    <w:rsid w:val="65C15EE3"/>
    <w:rsid w:val="65C6174B"/>
    <w:rsid w:val="65F04A1A"/>
    <w:rsid w:val="664663E8"/>
    <w:rsid w:val="665A1E94"/>
    <w:rsid w:val="6692162D"/>
    <w:rsid w:val="669B5931"/>
    <w:rsid w:val="669F009B"/>
    <w:rsid w:val="66A7157D"/>
    <w:rsid w:val="66A80E51"/>
    <w:rsid w:val="66DA2CB3"/>
    <w:rsid w:val="672D1356"/>
    <w:rsid w:val="67401089"/>
    <w:rsid w:val="67560457"/>
    <w:rsid w:val="67645D00"/>
    <w:rsid w:val="677B0314"/>
    <w:rsid w:val="677F6056"/>
    <w:rsid w:val="67852F40"/>
    <w:rsid w:val="679338AF"/>
    <w:rsid w:val="67987117"/>
    <w:rsid w:val="67A86EAD"/>
    <w:rsid w:val="67AA44A5"/>
    <w:rsid w:val="67AC4971"/>
    <w:rsid w:val="67BB4BB4"/>
    <w:rsid w:val="67E20393"/>
    <w:rsid w:val="67EC36E4"/>
    <w:rsid w:val="681A5D7E"/>
    <w:rsid w:val="68232E85"/>
    <w:rsid w:val="68356714"/>
    <w:rsid w:val="6852376A"/>
    <w:rsid w:val="687234C5"/>
    <w:rsid w:val="68A35D74"/>
    <w:rsid w:val="68A66F76"/>
    <w:rsid w:val="68DD38CD"/>
    <w:rsid w:val="68E36170"/>
    <w:rsid w:val="68EC771B"/>
    <w:rsid w:val="69124CA8"/>
    <w:rsid w:val="691D5B26"/>
    <w:rsid w:val="692F7608"/>
    <w:rsid w:val="693764BC"/>
    <w:rsid w:val="693E5A9D"/>
    <w:rsid w:val="696E0130"/>
    <w:rsid w:val="69A022B3"/>
    <w:rsid w:val="69AA3132"/>
    <w:rsid w:val="69E93980"/>
    <w:rsid w:val="69EB1780"/>
    <w:rsid w:val="69F525FF"/>
    <w:rsid w:val="6A12486A"/>
    <w:rsid w:val="6A132A85"/>
    <w:rsid w:val="6A2404CE"/>
    <w:rsid w:val="6A4604FF"/>
    <w:rsid w:val="6A4B221F"/>
    <w:rsid w:val="6A4E7F61"/>
    <w:rsid w:val="6A8D0A8A"/>
    <w:rsid w:val="6A935974"/>
    <w:rsid w:val="6AB778B5"/>
    <w:rsid w:val="6AD22940"/>
    <w:rsid w:val="6B080110"/>
    <w:rsid w:val="6B0B7C00"/>
    <w:rsid w:val="6B1C1E0E"/>
    <w:rsid w:val="6B476E8A"/>
    <w:rsid w:val="6B525830"/>
    <w:rsid w:val="6B7B4D86"/>
    <w:rsid w:val="6B827EC3"/>
    <w:rsid w:val="6B841E8D"/>
    <w:rsid w:val="6BA20565"/>
    <w:rsid w:val="6BAF4A30"/>
    <w:rsid w:val="6BBB1626"/>
    <w:rsid w:val="6BC06C3D"/>
    <w:rsid w:val="6BF95CAB"/>
    <w:rsid w:val="6C186A79"/>
    <w:rsid w:val="6C2076DB"/>
    <w:rsid w:val="6C2E4764"/>
    <w:rsid w:val="6C3F7B62"/>
    <w:rsid w:val="6C4E5FF7"/>
    <w:rsid w:val="6C5D26DE"/>
    <w:rsid w:val="6C845EBC"/>
    <w:rsid w:val="6C86357D"/>
    <w:rsid w:val="6C8D4D71"/>
    <w:rsid w:val="6CA16A6E"/>
    <w:rsid w:val="6CAA3967"/>
    <w:rsid w:val="6CAF75BB"/>
    <w:rsid w:val="6CC22541"/>
    <w:rsid w:val="6CDC3602"/>
    <w:rsid w:val="6CF66F0A"/>
    <w:rsid w:val="6D341690"/>
    <w:rsid w:val="6D4D4500"/>
    <w:rsid w:val="6D65184A"/>
    <w:rsid w:val="6DFF3A4C"/>
    <w:rsid w:val="6E11552E"/>
    <w:rsid w:val="6E143B5A"/>
    <w:rsid w:val="6E22598D"/>
    <w:rsid w:val="6E39783C"/>
    <w:rsid w:val="6E3F653F"/>
    <w:rsid w:val="6E4C213D"/>
    <w:rsid w:val="6E926247"/>
    <w:rsid w:val="6E9A3775"/>
    <w:rsid w:val="6E9D506D"/>
    <w:rsid w:val="6EA63EC8"/>
    <w:rsid w:val="6EE64C0C"/>
    <w:rsid w:val="6EE844E0"/>
    <w:rsid w:val="6EF03395"/>
    <w:rsid w:val="6EFF182A"/>
    <w:rsid w:val="6F1C062E"/>
    <w:rsid w:val="6F683873"/>
    <w:rsid w:val="6F8F0E00"/>
    <w:rsid w:val="6FC34F4E"/>
    <w:rsid w:val="6FCF38F2"/>
    <w:rsid w:val="6FD9651F"/>
    <w:rsid w:val="6FEC6252"/>
    <w:rsid w:val="70156D97"/>
    <w:rsid w:val="701D640C"/>
    <w:rsid w:val="7020414E"/>
    <w:rsid w:val="70251764"/>
    <w:rsid w:val="70310109"/>
    <w:rsid w:val="70542388"/>
    <w:rsid w:val="706E310B"/>
    <w:rsid w:val="70E9087D"/>
    <w:rsid w:val="710475CC"/>
    <w:rsid w:val="715C7408"/>
    <w:rsid w:val="71704C61"/>
    <w:rsid w:val="71777D9E"/>
    <w:rsid w:val="71900E5F"/>
    <w:rsid w:val="71A36DE5"/>
    <w:rsid w:val="71A843FB"/>
    <w:rsid w:val="71B96608"/>
    <w:rsid w:val="71EA0570"/>
    <w:rsid w:val="721B697B"/>
    <w:rsid w:val="724203AC"/>
    <w:rsid w:val="724759C2"/>
    <w:rsid w:val="724E4FA2"/>
    <w:rsid w:val="7270316B"/>
    <w:rsid w:val="72CF79AB"/>
    <w:rsid w:val="72D354A8"/>
    <w:rsid w:val="72D8486C"/>
    <w:rsid w:val="72E27499"/>
    <w:rsid w:val="72EE22E1"/>
    <w:rsid w:val="730819CB"/>
    <w:rsid w:val="731173E2"/>
    <w:rsid w:val="73221F8B"/>
    <w:rsid w:val="732F3913"/>
    <w:rsid w:val="733221CE"/>
    <w:rsid w:val="734F0FD2"/>
    <w:rsid w:val="73516959"/>
    <w:rsid w:val="73546F16"/>
    <w:rsid w:val="737427E7"/>
    <w:rsid w:val="7379604F"/>
    <w:rsid w:val="739369E5"/>
    <w:rsid w:val="739E7864"/>
    <w:rsid w:val="73AF1A71"/>
    <w:rsid w:val="73D74B24"/>
    <w:rsid w:val="741B0EB4"/>
    <w:rsid w:val="743401C8"/>
    <w:rsid w:val="74463A57"/>
    <w:rsid w:val="74583EB6"/>
    <w:rsid w:val="748702F8"/>
    <w:rsid w:val="748F4C63"/>
    <w:rsid w:val="74AA048A"/>
    <w:rsid w:val="74B86703"/>
    <w:rsid w:val="74C257D4"/>
    <w:rsid w:val="74DE4C7C"/>
    <w:rsid w:val="74E12CBB"/>
    <w:rsid w:val="74E76FE8"/>
    <w:rsid w:val="75071439"/>
    <w:rsid w:val="753C4E9B"/>
    <w:rsid w:val="756920F3"/>
    <w:rsid w:val="756F375A"/>
    <w:rsid w:val="75706FDE"/>
    <w:rsid w:val="75731778"/>
    <w:rsid w:val="758F3FBF"/>
    <w:rsid w:val="759A22AD"/>
    <w:rsid w:val="75B24E1F"/>
    <w:rsid w:val="75EA4FE2"/>
    <w:rsid w:val="75F776FF"/>
    <w:rsid w:val="760266B1"/>
    <w:rsid w:val="760D0CD1"/>
    <w:rsid w:val="762A53DF"/>
    <w:rsid w:val="766677CE"/>
    <w:rsid w:val="766A6123"/>
    <w:rsid w:val="76A35191"/>
    <w:rsid w:val="76AC04E9"/>
    <w:rsid w:val="76BA3F33"/>
    <w:rsid w:val="76C4494D"/>
    <w:rsid w:val="76F85DD2"/>
    <w:rsid w:val="76FF4ABD"/>
    <w:rsid w:val="773724A9"/>
    <w:rsid w:val="77441800"/>
    <w:rsid w:val="77484F63"/>
    <w:rsid w:val="775F555C"/>
    <w:rsid w:val="77613082"/>
    <w:rsid w:val="77664B3C"/>
    <w:rsid w:val="776D5A49"/>
    <w:rsid w:val="77905715"/>
    <w:rsid w:val="77996CC0"/>
    <w:rsid w:val="77AE3DED"/>
    <w:rsid w:val="77DF669D"/>
    <w:rsid w:val="781113A7"/>
    <w:rsid w:val="781B5927"/>
    <w:rsid w:val="785901FD"/>
    <w:rsid w:val="786B1CDE"/>
    <w:rsid w:val="788D60F9"/>
    <w:rsid w:val="78986F77"/>
    <w:rsid w:val="78A83D67"/>
    <w:rsid w:val="78B673FD"/>
    <w:rsid w:val="78C7785D"/>
    <w:rsid w:val="78C95383"/>
    <w:rsid w:val="78DB3308"/>
    <w:rsid w:val="79077C59"/>
    <w:rsid w:val="791201AB"/>
    <w:rsid w:val="791660EE"/>
    <w:rsid w:val="791E6510"/>
    <w:rsid w:val="792702FB"/>
    <w:rsid w:val="794964C4"/>
    <w:rsid w:val="795A5FDB"/>
    <w:rsid w:val="796706F8"/>
    <w:rsid w:val="79686F72"/>
    <w:rsid w:val="796C5D0E"/>
    <w:rsid w:val="797C0647"/>
    <w:rsid w:val="798017B9"/>
    <w:rsid w:val="79A656C4"/>
    <w:rsid w:val="79B15C6C"/>
    <w:rsid w:val="79B778D1"/>
    <w:rsid w:val="79E104AA"/>
    <w:rsid w:val="79F53F55"/>
    <w:rsid w:val="7A020420"/>
    <w:rsid w:val="7A173ECC"/>
    <w:rsid w:val="7A2800DC"/>
    <w:rsid w:val="7A545120"/>
    <w:rsid w:val="7A5769F5"/>
    <w:rsid w:val="7A5A2903"/>
    <w:rsid w:val="7A5C3FD5"/>
    <w:rsid w:val="7A7272A2"/>
    <w:rsid w:val="7A97325F"/>
    <w:rsid w:val="7A9C2623"/>
    <w:rsid w:val="7ADD4882"/>
    <w:rsid w:val="7ADE49EA"/>
    <w:rsid w:val="7AE83ABA"/>
    <w:rsid w:val="7AF91823"/>
    <w:rsid w:val="7AFE32DE"/>
    <w:rsid w:val="7B183EF9"/>
    <w:rsid w:val="7B256ABC"/>
    <w:rsid w:val="7B2D7249"/>
    <w:rsid w:val="7B407452"/>
    <w:rsid w:val="7B580C40"/>
    <w:rsid w:val="7B6C46EB"/>
    <w:rsid w:val="7B7B66DC"/>
    <w:rsid w:val="7BA3748A"/>
    <w:rsid w:val="7BB340C8"/>
    <w:rsid w:val="7BD55DED"/>
    <w:rsid w:val="7BDF310F"/>
    <w:rsid w:val="7BFC1355"/>
    <w:rsid w:val="7C06069C"/>
    <w:rsid w:val="7C10151B"/>
    <w:rsid w:val="7C240B22"/>
    <w:rsid w:val="7C43544C"/>
    <w:rsid w:val="7C4B2553"/>
    <w:rsid w:val="7C5163CD"/>
    <w:rsid w:val="7C6F4493"/>
    <w:rsid w:val="7C741AA9"/>
    <w:rsid w:val="7C831CEC"/>
    <w:rsid w:val="7C8D4A41"/>
    <w:rsid w:val="7CB023B6"/>
    <w:rsid w:val="7CC5187A"/>
    <w:rsid w:val="7CED360A"/>
    <w:rsid w:val="7D034BDB"/>
    <w:rsid w:val="7D275B8C"/>
    <w:rsid w:val="7D284642"/>
    <w:rsid w:val="7D39684F"/>
    <w:rsid w:val="7D482F8B"/>
    <w:rsid w:val="7D562F5D"/>
    <w:rsid w:val="7D603DDC"/>
    <w:rsid w:val="7D717D97"/>
    <w:rsid w:val="7D741635"/>
    <w:rsid w:val="7D7E4262"/>
    <w:rsid w:val="7DAD3A9A"/>
    <w:rsid w:val="7DBB1012"/>
    <w:rsid w:val="7DBF41F9"/>
    <w:rsid w:val="7DC205F3"/>
    <w:rsid w:val="7DD722F0"/>
    <w:rsid w:val="7E5C27F5"/>
    <w:rsid w:val="7E7062A0"/>
    <w:rsid w:val="7E75398F"/>
    <w:rsid w:val="7E8C3BB8"/>
    <w:rsid w:val="7E955D07"/>
    <w:rsid w:val="7EB41F38"/>
    <w:rsid w:val="7EC5039A"/>
    <w:rsid w:val="7EC550D4"/>
    <w:rsid w:val="7F0729B2"/>
    <w:rsid w:val="7F1D01D6"/>
    <w:rsid w:val="7F2826D7"/>
    <w:rsid w:val="7F4734A5"/>
    <w:rsid w:val="7F482D79"/>
    <w:rsid w:val="7F547970"/>
    <w:rsid w:val="7F6F6558"/>
    <w:rsid w:val="7F7678E7"/>
    <w:rsid w:val="7F7B4EFD"/>
    <w:rsid w:val="7F8C66D1"/>
    <w:rsid w:val="7FA51F7A"/>
    <w:rsid w:val="7FD30895"/>
    <w:rsid w:val="7FDC2C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keepNext/>
      <w:keepLines/>
      <w:spacing w:line="560" w:lineRule="exact"/>
      <w:ind w:firstLine="200" w:firstLineChars="200"/>
      <w:outlineLvl w:val="1"/>
    </w:pPr>
    <w:rPr>
      <w:rFonts w:eastAsia="楷体_GB2312" w:asciiTheme="majorAscii" w:hAnsiTheme="majorAscii" w:cstheme="majorBidi"/>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0"/>
    <w:pPr>
      <w:spacing w:beforeLines="0" w:afterLines="0"/>
      <w:ind w:firstLine="640" w:firstLineChars="200"/>
    </w:pPr>
    <w:rPr>
      <w:rFonts w:hint="default"/>
      <w:sz w:val="32"/>
    </w:rPr>
  </w:style>
  <w:style w:type="paragraph" w:styleId="4">
    <w:name w:val="footer"/>
    <w:basedOn w:val="1"/>
    <w:next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unhideWhenUsed/>
    <w:qFormat/>
    <w:uiPriority w:val="99"/>
    <w:pPr>
      <w:spacing w:beforeLines="0" w:afterLines="0"/>
      <w:ind w:firstLine="420"/>
    </w:pPr>
    <w:rPr>
      <w:rFonts w:hint="default"/>
      <w:sz w:val="32"/>
    </w:rPr>
  </w:style>
  <w:style w:type="character" w:styleId="10">
    <w:name w:val="Hyperlink"/>
    <w:basedOn w:val="9"/>
    <w:qFormat/>
    <w:uiPriority w:val="0"/>
    <w:rPr>
      <w:color w:val="0000FF"/>
      <w:u w:val="single"/>
    </w:rPr>
  </w:style>
  <w:style w:type="paragraph" w:customStyle="1" w:styleId="11">
    <w:name w:val="标题1"/>
    <w:basedOn w:val="2"/>
    <w:qFormat/>
    <w:uiPriority w:val="0"/>
    <w:rPr>
      <w:rFonts w:eastAsia="黑体"/>
    </w:rPr>
  </w:style>
  <w:style w:type="paragraph" w:customStyle="1" w:styleId="12">
    <w:name w:val="首行缩进"/>
    <w:basedOn w:val="1"/>
    <w:qFormat/>
    <w:uiPriority w:val="0"/>
    <w:pPr>
      <w:ind w:firstLine="480" w:firstLineChars="200"/>
    </w:pPr>
    <w:rPr>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7431</Words>
  <Characters>8153</Characters>
  <Lines>0</Lines>
  <Paragraphs>0</Paragraphs>
  <TotalTime>36</TotalTime>
  <ScaleCrop>false</ScaleCrop>
  <LinksUpToDate>false</LinksUpToDate>
  <CharactersWithSpaces>8358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2024-02-22T02:03:00Z</dcterms:created>
  <dc:creator>1402836399</dc:creator>
  <cp:lastModifiedBy>岔不桗</cp:lastModifiedBy>
  <cp:lastPrinted>2024-06-30T12:05:00Z</cp:lastPrinted>
  <dcterms:modified xsi:type="dcterms:W3CDTF">2024-09-24T05:06:44Z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AE8060A080B14D3FB09DA9F9CC645CDA_13</vt:lpwstr>
  </property>
</Properties>
</file>