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9"/>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湖南省怀化工业中等专业</w:t>
      </w:r>
    </w:p>
    <w:p>
      <w:pPr>
        <w:pStyle w:val="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学校</w:t>
      </w:r>
      <w:r>
        <w:rPr>
          <w:rFonts w:hint="eastAsia" w:ascii="方正小标宋_GBK" w:hAnsi="方正小标宋_GBK" w:eastAsia="方正小标宋_GBK" w:cs="方正小标宋_GBK"/>
          <w:sz w:val="84"/>
          <w:szCs w:val="84"/>
        </w:rPr>
        <w:t>部门决算</w:t>
      </w:r>
    </w:p>
    <w:p>
      <w:pPr>
        <w:pStyle w:val="9"/>
        <w:jc w:val="center"/>
        <w:rPr>
          <w:rFonts w:hint="eastAsia" w:ascii="方正小标宋_GBK" w:hAnsi="方正小标宋_GBK" w:eastAsia="方正小标宋_GBK" w:cs="方正小标宋_GBK"/>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spacing w:line="500" w:lineRule="exact"/>
        <w:jc w:val="both"/>
        <w:rPr>
          <w:b/>
          <w:sz w:val="36"/>
          <w:szCs w:val="28"/>
        </w:rPr>
      </w:pPr>
    </w:p>
    <w:p>
      <w:pPr>
        <w:pStyle w:val="9"/>
        <w:spacing w:line="500" w:lineRule="exact"/>
        <w:jc w:val="both"/>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湖南省怀化工业中等专业学校</w:t>
      </w:r>
      <w:r>
        <w:rPr>
          <w:rFonts w:hint="eastAsia" w:ascii="黑体" w:hAnsi="黑体" w:eastAsia="黑体" w:cs="黑体"/>
          <w:b w:val="0"/>
          <w:bCs/>
          <w:sz w:val="28"/>
          <w:szCs w:val="28"/>
        </w:rPr>
        <w:t>概况</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九、国有资本经营预算财政拨款</w:t>
      </w:r>
      <w:r>
        <w:rPr>
          <w:rFonts w:hint="eastAsia" w:ascii="仿宋_GB2312" w:hAnsi="仿宋_GB2312" w:eastAsia="仿宋_GB2312" w:cs="仿宋_GB2312"/>
          <w:color w:val="000000"/>
          <w:kern w:val="0"/>
          <w:sz w:val="28"/>
          <w:szCs w:val="28"/>
          <w:lang w:eastAsia="zh-CN"/>
        </w:rPr>
        <w:t>收入</w:t>
      </w:r>
      <w:r>
        <w:rPr>
          <w:rFonts w:hint="eastAsia" w:ascii="仿宋_GB2312" w:hAnsi="仿宋_GB2312" w:eastAsia="仿宋_GB2312" w:cs="仿宋_GB2312"/>
          <w:color w:val="000000"/>
          <w:kern w:val="0"/>
          <w:sz w:val="28"/>
          <w:szCs w:val="28"/>
        </w:rPr>
        <w:t>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十</w:t>
      </w:r>
      <w:r>
        <w:rPr>
          <w:rFonts w:hint="eastAsia" w:ascii="仿宋_GB2312" w:hAnsi="仿宋_GB2312" w:eastAsia="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val="en-US" w:eastAsia="zh-CN"/>
        </w:rPr>
        <w:t>一</w:t>
      </w:r>
      <w:r>
        <w:rPr>
          <w:rFonts w:hint="eastAsia" w:ascii="仿宋_GB2312" w:hAnsi="仿宋_GB2312" w:eastAsia="仿宋_GB2312" w:cs="仿宋_GB2312"/>
          <w:color w:val="000000"/>
          <w:kern w:val="0"/>
          <w:sz w:val="28"/>
          <w:szCs w:val="28"/>
        </w:rPr>
        <w:t>、一般性支出情况说明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lang w:val="en-US" w:eastAsia="zh-CN"/>
        </w:rPr>
        <w:t>二</w:t>
      </w:r>
      <w:r>
        <w:rPr>
          <w:rFonts w:hint="eastAsia" w:ascii="仿宋_GB2312" w:hAnsi="仿宋_GB2312" w:eastAsia="仿宋_GB2312" w:cs="仿宋_GB2312"/>
          <w:color w:val="000000"/>
          <w:kern w:val="0"/>
          <w:sz w:val="28"/>
          <w:szCs w:val="28"/>
        </w:rPr>
        <w:t>、关于政府采购支出说明</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t>、关于国有资产占用情况说明</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、关于预算绩效情况的说明</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9"/>
        <w:jc w:val="center"/>
        <w:rPr>
          <w:rFonts w:hint="eastAsia" w:ascii="方正小标宋_GBK" w:hAnsi="方正小标宋_GBK" w:eastAsia="方正小标宋_GBK" w:cs="方正小标宋_GBK"/>
          <w:sz w:val="84"/>
          <w:szCs w:val="84"/>
        </w:rPr>
      </w:pPr>
    </w:p>
    <w:p>
      <w:pPr>
        <w:pStyle w:val="9"/>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湖南省怀化工业中等专业</w:t>
      </w:r>
    </w:p>
    <w:p>
      <w:pPr>
        <w:pStyle w:val="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学校</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both"/>
        <w:rPr>
          <w:sz w:val="72"/>
          <w:szCs w:val="72"/>
        </w:rPr>
      </w:pPr>
    </w:p>
    <w:p>
      <w:pPr>
        <w:pStyle w:val="10"/>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黑体" w:hAnsi="黑体" w:eastAsia="黑体" w:cs="黑体"/>
          <w:b w:val="0"/>
          <w:bCs w:val="0"/>
          <w:sz w:val="32"/>
          <w:szCs w:val="32"/>
        </w:rPr>
      </w:pPr>
      <w:r>
        <w:rPr>
          <w:rFonts w:hint="default" w:ascii="黑体" w:hAnsi="黑体" w:eastAsia="黑体" w:cs="黑体"/>
          <w:b w:val="0"/>
          <w:bCs w:val="0"/>
          <w:kern w:val="2"/>
          <w:sz w:val="32"/>
          <w:szCs w:val="32"/>
          <w:lang w:val="en-US" w:eastAsia="zh-CN" w:bidi="ar-SA"/>
        </w:rPr>
        <w:t>一、</w:t>
      </w:r>
      <w:r>
        <w:rPr>
          <w:rFonts w:hint="eastAsia" w:ascii="黑体" w:hAnsi="黑体" w:eastAsia="黑体" w:cs="黑体"/>
          <w:b w:val="0"/>
          <w:bCs w:val="0"/>
          <w:sz w:val="32"/>
          <w:szCs w:val="32"/>
        </w:rPr>
        <w:t>部门职责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湖南省怀化工业中等专业学校（湖南省怀化工业高级技工学校）是一所公办全日制普通中等职业学校，是国家改革发展示范学校、国家级重点中等职业学校、国家级重点技工学校，湖南省卓越中等职业学校立项建设单位、省职业教育先进单位。</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Times New Roman" w:hAnsi="Times New Roman" w:eastAsia="仿宋_GB2312" w:cs="仿宋_GB2312"/>
          <w:bCs/>
          <w:kern w:val="0"/>
          <w:sz w:val="32"/>
          <w:szCs w:val="32"/>
        </w:rPr>
        <w:t>（一）内设机构设置。</w:t>
      </w:r>
      <w:r>
        <w:rPr>
          <w:rFonts w:hint="eastAsia" w:ascii="仿宋" w:hAnsi="仿宋" w:eastAsia="仿宋" w:cs="仿宋"/>
          <w:sz w:val="32"/>
          <w:szCs w:val="32"/>
        </w:rPr>
        <w:t>湖南省怀化工业中等专业学校</w:t>
      </w:r>
      <w:r>
        <w:rPr>
          <w:rFonts w:ascii="仿宋" w:hAnsi="仿宋" w:eastAsia="仿宋" w:cs="仿宋_GB2312"/>
          <w:color w:val="333333"/>
          <w:sz w:val="32"/>
          <w:szCs w:val="32"/>
          <w:shd w:val="clear" w:color="auto" w:fill="FFFFFF"/>
        </w:rPr>
        <w:t>作为一级部门预算单位</w:t>
      </w:r>
      <w:r>
        <w:rPr>
          <w:rFonts w:hint="eastAsia" w:ascii="仿宋" w:hAnsi="仿宋" w:eastAsia="仿宋" w:cs="仿宋_GB2312"/>
          <w:color w:val="333333"/>
          <w:sz w:val="32"/>
          <w:szCs w:val="32"/>
          <w:shd w:val="clear" w:color="auto" w:fill="FFFFFF"/>
          <w:lang w:eastAsia="zh-CN"/>
        </w:rPr>
        <w:t>，</w:t>
      </w:r>
      <w:r>
        <w:rPr>
          <w:rFonts w:hint="eastAsia" w:ascii="仿宋" w:hAnsi="仿宋" w:eastAsia="仿宋" w:cs="仿宋"/>
          <w:sz w:val="32"/>
          <w:szCs w:val="32"/>
        </w:rPr>
        <w:t>内设科室包括：办公室、监察审计室、教务科、学生科、总务科、财务科、实习培训科、保卫科、团委、党办人事科、信息与经济管理系、机电与汽车工程系。</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仿宋" w:hAnsi="仿宋" w:eastAsia="仿宋" w:cs="仿宋"/>
          <w:sz w:val="32"/>
          <w:szCs w:val="32"/>
        </w:rPr>
        <w:t>湖南省怀化工业中等专业学校</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w:t>
      </w:r>
      <w:r>
        <w:rPr>
          <w:rFonts w:hint="eastAsia" w:ascii="仿宋" w:hAnsi="仿宋" w:eastAsia="仿宋" w:cs="仿宋"/>
          <w:sz w:val="32"/>
          <w:szCs w:val="32"/>
        </w:rPr>
        <w:t>湖南省怀化工业中等专业学校</w:t>
      </w:r>
      <w:r>
        <w:rPr>
          <w:rFonts w:hint="eastAsia" w:ascii="仿宋" w:hAnsi="仿宋" w:eastAsia="仿宋" w:cs="仿宋"/>
          <w:sz w:val="32"/>
          <w:szCs w:val="32"/>
          <w:lang w:val="en-US" w:eastAsia="zh-CN"/>
        </w:rPr>
        <w:t>本级</w:t>
      </w:r>
      <w:r>
        <w:rPr>
          <w:rFonts w:hint="eastAsia" w:ascii="仿宋" w:hAnsi="仿宋" w:eastAsia="仿宋" w:cs="仿宋"/>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pStyle w:val="9"/>
        <w:jc w:val="both"/>
        <w:rPr>
          <w:rFonts w:hint="eastAsia" w:ascii="方正小标宋_GBK" w:hAnsi="方正小标宋_GBK" w:eastAsia="方正小标宋_GBK" w:cs="方正小标宋_GBK"/>
          <w:sz w:val="84"/>
          <w:szCs w:val="84"/>
        </w:rPr>
      </w:pPr>
    </w:p>
    <w:p>
      <w:pPr>
        <w:pStyle w:val="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9"/>
        <w:jc w:val="center"/>
        <w:rPr>
          <w:rFonts w:hint="eastAsia" w:ascii="方正小标宋_GBK" w:hAnsi="方正小标宋_GBK" w:eastAsia="方正小标宋_GBK" w:cs="方正小标宋_GBK"/>
          <w:sz w:val="84"/>
          <w:szCs w:val="84"/>
        </w:rPr>
      </w:pPr>
    </w:p>
    <w:p>
      <w:pPr>
        <w:pStyle w:val="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rFonts w:hint="eastAsia" w:eastAsiaTheme="minorEastAsia"/>
          <w:sz w:val="72"/>
          <w:szCs w:val="72"/>
          <w:lang w:eastAsia="zh-CN"/>
        </w:rPr>
      </w:pPr>
      <w:r>
        <w:rPr>
          <w:rFonts w:hint="eastAsia"/>
          <w:sz w:val="72"/>
          <w:szCs w:val="72"/>
          <w:lang w:eastAsia="zh-CN"/>
        </w:rPr>
        <w:t>（</w:t>
      </w:r>
      <w:r>
        <w:rPr>
          <w:rFonts w:hint="eastAsia"/>
          <w:sz w:val="72"/>
          <w:szCs w:val="72"/>
          <w:lang w:val="en-US" w:eastAsia="zh-CN"/>
        </w:rPr>
        <w:t>见附件</w:t>
      </w:r>
      <w:r>
        <w:rPr>
          <w:rFonts w:hint="eastAsia"/>
          <w:sz w:val="72"/>
          <w:szCs w:val="72"/>
          <w:lang w:eastAsia="zh-CN"/>
        </w:rPr>
        <w:t>）</w:t>
      </w: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p>
      <w:pPr>
        <w:autoSpaceDE w:val="0"/>
        <w:autoSpaceDN w:val="0"/>
        <w:adjustRightInd w:val="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both"/>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9"/>
        <w:jc w:val="center"/>
        <w:rPr>
          <w:rFonts w:hint="eastAsia" w:ascii="方正小标宋_GBK" w:hAnsi="方正小标宋_GBK" w:eastAsia="方正小标宋_GBK" w:cs="方正小标宋_GBK"/>
          <w:sz w:val="70"/>
          <w:szCs w:val="70"/>
        </w:rPr>
      </w:pPr>
    </w:p>
    <w:p>
      <w:pPr>
        <w:pStyle w:val="9"/>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各</w:t>
      </w:r>
      <w:r>
        <w:rPr>
          <w:rFonts w:hint="eastAsia" w:ascii="Times New Roman" w:hAnsi="Times New Roman" w:eastAsia="仿宋_GB2312"/>
          <w:sz w:val="32"/>
          <w:szCs w:val="32"/>
        </w:rPr>
        <w:t>4697.43万元。与上年相比，减少</w:t>
      </w:r>
      <w:r>
        <w:rPr>
          <w:rFonts w:hint="eastAsia" w:ascii="Times New Roman" w:hAnsi="Times New Roman" w:eastAsia="仿宋_GB2312"/>
          <w:sz w:val="32"/>
          <w:szCs w:val="32"/>
          <w:lang w:val="en-US" w:eastAsia="zh-CN"/>
        </w:rPr>
        <w:t>15.83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本年度减少了项目经费。</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年度收入合计4697.43万元，其中：财政拨款收入</w:t>
      </w:r>
      <w:r>
        <w:rPr>
          <w:rFonts w:hint="eastAsia" w:ascii="Times New Roman" w:hAnsi="Times New Roman" w:eastAsia="仿宋_GB2312"/>
          <w:sz w:val="32"/>
          <w:szCs w:val="32"/>
          <w:lang w:val="en-US" w:eastAsia="zh-CN"/>
        </w:rPr>
        <w:t>3796.82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80.83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%；事业收入408.56万元，占</w:t>
      </w:r>
      <w:r>
        <w:rPr>
          <w:rFonts w:hint="eastAsia" w:ascii="Times New Roman" w:hAnsi="Times New Roman" w:eastAsia="仿宋_GB2312"/>
          <w:sz w:val="32"/>
          <w:szCs w:val="32"/>
          <w:lang w:val="en-US" w:eastAsia="zh-CN"/>
        </w:rPr>
        <w:t>8.7</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%；其他收入492.05万元，占</w:t>
      </w:r>
      <w:r>
        <w:rPr>
          <w:rFonts w:hint="eastAsia" w:ascii="Times New Roman" w:hAnsi="Times New Roman" w:eastAsia="仿宋_GB2312"/>
          <w:sz w:val="32"/>
          <w:szCs w:val="32"/>
          <w:lang w:val="en-US" w:eastAsia="zh-CN"/>
        </w:rPr>
        <w:t>10.47</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年度支出合计4697.43万元，其中：基本支出3879.73万元，占</w:t>
      </w:r>
      <w:r>
        <w:rPr>
          <w:rFonts w:hint="eastAsia" w:ascii="Times New Roman" w:hAnsi="Times New Roman" w:eastAsia="仿宋_GB2312"/>
          <w:sz w:val="32"/>
          <w:szCs w:val="32"/>
          <w:lang w:val="en-US" w:eastAsia="zh-CN"/>
        </w:rPr>
        <w:t>82.59</w:t>
      </w:r>
      <w:r>
        <w:rPr>
          <w:rFonts w:hint="eastAsia" w:ascii="Times New Roman" w:hAnsi="Times New Roman" w:eastAsia="仿宋_GB2312"/>
          <w:sz w:val="32"/>
          <w:szCs w:val="32"/>
        </w:rPr>
        <w:t>%；项目支出817.7万元，占</w:t>
      </w:r>
      <w:r>
        <w:rPr>
          <w:rFonts w:hint="eastAsia" w:ascii="Times New Roman" w:hAnsi="Times New Roman" w:eastAsia="仿宋_GB2312"/>
          <w:sz w:val="32"/>
          <w:szCs w:val="32"/>
          <w:lang w:val="en-US" w:eastAsia="zh-CN"/>
        </w:rPr>
        <w:t>17.41</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9"/>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年度财政拨款收、支总计3796.82万元，与上年相比，减少</w:t>
      </w:r>
      <w:r>
        <w:rPr>
          <w:rFonts w:hint="eastAsia" w:ascii="Times New Roman" w:hAnsi="Times New Roman" w:eastAsia="仿宋_GB2312"/>
          <w:sz w:val="32"/>
          <w:szCs w:val="32"/>
          <w:lang w:val="en-US" w:eastAsia="zh-CN"/>
        </w:rPr>
        <w:t>476.61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11.15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本年度减少了项目经费。</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yellow"/>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年度财政拨款支出3796.82万元，占本年支出合计的</w:t>
      </w:r>
      <w:r>
        <w:rPr>
          <w:rFonts w:hint="eastAsia" w:ascii="Times New Roman" w:hAnsi="Times New Roman" w:eastAsia="仿宋_GB2312"/>
          <w:sz w:val="32"/>
          <w:szCs w:val="32"/>
          <w:lang w:val="en-US" w:eastAsia="zh-CN"/>
        </w:rPr>
        <w:t>80.83</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476.61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11.15</w:t>
      </w:r>
      <w:r>
        <w:rPr>
          <w:rFonts w:hint="eastAsia" w:ascii="Times New Roman" w:hAnsi="Times New Roman" w:eastAsia="仿宋_GB2312"/>
          <w:sz w:val="32"/>
          <w:szCs w:val="32"/>
        </w:rPr>
        <w:t>%，主要是</w:t>
      </w:r>
      <w:r>
        <w:rPr>
          <w:rFonts w:hint="eastAsia" w:ascii="Times New Roman" w:hAnsi="Times New Roman" w:eastAsia="仿宋_GB2312"/>
          <w:sz w:val="32"/>
          <w:szCs w:val="32"/>
          <w:highlight w:val="none"/>
        </w:rPr>
        <w:t>因为</w:t>
      </w:r>
      <w:r>
        <w:rPr>
          <w:rFonts w:hint="eastAsia" w:ascii="Times New Roman" w:hAnsi="Times New Roman" w:eastAsia="仿宋_GB2312"/>
          <w:sz w:val="32"/>
          <w:szCs w:val="32"/>
          <w:lang w:val="en-US" w:eastAsia="zh-CN"/>
        </w:rPr>
        <w:t>本年度减少了项目支出。</w:t>
      </w:r>
    </w:p>
    <w:p>
      <w:pPr>
        <w:pStyle w:val="9"/>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年度财政拨款支出3796.82万元，主要用于以下方面：一般公共服务（类）支出71.93万元，占</w:t>
      </w:r>
      <w:r>
        <w:rPr>
          <w:rFonts w:hint="eastAsia" w:ascii="Times New Roman" w:hAnsi="Times New Roman" w:eastAsia="仿宋_GB2312"/>
          <w:sz w:val="32"/>
          <w:szCs w:val="32"/>
          <w:lang w:val="en-US" w:eastAsia="zh-CN"/>
        </w:rPr>
        <w:t>1.89</w:t>
      </w:r>
      <w:r>
        <w:rPr>
          <w:rFonts w:hint="eastAsia" w:ascii="Times New Roman" w:hAnsi="Times New Roman" w:eastAsia="仿宋_GB2312"/>
          <w:sz w:val="32"/>
          <w:szCs w:val="32"/>
        </w:rPr>
        <w:t>%；教育（类）支出3411.66万元，占</w:t>
      </w:r>
      <w:r>
        <w:rPr>
          <w:rFonts w:hint="eastAsia" w:ascii="Times New Roman" w:hAnsi="Times New Roman" w:eastAsia="仿宋_GB2312"/>
          <w:sz w:val="32"/>
          <w:szCs w:val="32"/>
          <w:lang w:val="en-US" w:eastAsia="zh-CN"/>
        </w:rPr>
        <w:t>89.86</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仿宋" w:hAnsi="仿宋" w:eastAsia="仿宋" w:cs="仿宋"/>
          <w:sz w:val="32"/>
          <w:szCs w:val="32"/>
        </w:rPr>
        <w:t>社会保障和就业（类）支出</w:t>
      </w:r>
      <w:r>
        <w:rPr>
          <w:rFonts w:hint="eastAsia" w:ascii="Times New Roman" w:hAnsi="Times New Roman" w:eastAsia="仿宋_GB2312"/>
          <w:sz w:val="32"/>
          <w:szCs w:val="32"/>
        </w:rPr>
        <w:t>215.78万元，占</w:t>
      </w:r>
      <w:r>
        <w:rPr>
          <w:rFonts w:hint="eastAsia" w:ascii="Times New Roman" w:hAnsi="Times New Roman" w:eastAsia="仿宋_GB2312"/>
          <w:sz w:val="32"/>
          <w:szCs w:val="32"/>
          <w:lang w:val="en-US" w:eastAsia="zh-CN"/>
        </w:rPr>
        <w:t>5.68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仿宋" w:hAnsi="仿宋" w:eastAsia="仿宋" w:cs="仿宋"/>
          <w:sz w:val="32"/>
          <w:szCs w:val="32"/>
        </w:rPr>
        <w:t>卫生健康（类）支出97.45万元，占</w:t>
      </w:r>
      <w:r>
        <w:rPr>
          <w:rFonts w:hint="eastAsia" w:ascii="Times New Roman" w:hAnsi="Times New Roman" w:eastAsia="仿宋_GB2312"/>
          <w:sz w:val="32"/>
          <w:szCs w:val="32"/>
          <w:lang w:val="en-US" w:eastAsia="zh-CN"/>
        </w:rPr>
        <w:t>2.57%。</w:t>
      </w:r>
    </w:p>
    <w:p>
      <w:pPr>
        <w:pStyle w:val="9"/>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年度财政拨款支出年初预算数为1543.92万元，支出决算数为3796.82万元，完成年初预算的</w:t>
      </w:r>
      <w:r>
        <w:rPr>
          <w:rFonts w:hint="eastAsia" w:ascii="Times New Roman" w:hAnsi="Times New Roman" w:eastAsia="仿宋_GB2312"/>
          <w:sz w:val="32"/>
          <w:szCs w:val="32"/>
          <w:lang w:val="en-US" w:eastAsia="zh-CN"/>
        </w:rPr>
        <w:t>245.92</w:t>
      </w:r>
      <w:r>
        <w:rPr>
          <w:rFonts w:hint="eastAsia" w:ascii="Times New Roman" w:hAnsi="Times New Roman" w:eastAsia="仿宋_GB2312"/>
          <w:sz w:val="32"/>
          <w:szCs w:val="32"/>
        </w:rPr>
        <w:t>%，其中：</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1、一般公共服务（类）组织事务（款）其他组织事务支出（项）。</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万元，支出决算为36.4万元，</w:t>
      </w:r>
      <w:r>
        <w:rPr>
          <w:rFonts w:hint="eastAsia" w:ascii="Times New Roman" w:hAnsi="Times New Roman" w:eastAsia="仿宋_GB2312"/>
          <w:sz w:val="32"/>
          <w:szCs w:val="32"/>
          <w:lang w:val="en-US" w:eastAsia="zh-CN"/>
        </w:rPr>
        <w:t>无法计算完成百分比</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财政拨</w:t>
      </w:r>
      <w:r>
        <w:rPr>
          <w:rFonts w:hint="eastAsia" w:ascii="Times New Roman" w:hAnsi="Times New Roman" w:eastAsia="仿宋_GB2312"/>
          <w:sz w:val="32"/>
          <w:szCs w:val="32"/>
        </w:rPr>
        <w:t>人才引进补贴</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年初未纳入预算。</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2、一般公共服务（类）其他一般公共服务支出（款）其他一般公共服务支出（项）。</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万元，支出决算为35.53万元，</w:t>
      </w:r>
      <w:r>
        <w:rPr>
          <w:rFonts w:hint="eastAsia" w:ascii="Times New Roman" w:hAnsi="Times New Roman" w:eastAsia="仿宋_GB2312"/>
          <w:sz w:val="32"/>
          <w:szCs w:val="32"/>
          <w:lang w:val="en-US" w:eastAsia="zh-CN"/>
        </w:rPr>
        <w:t>无法计算完成百分比</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财政拨</w:t>
      </w:r>
      <w:r>
        <w:rPr>
          <w:rFonts w:hint="eastAsia" w:ascii="Times New Roman" w:hAnsi="Times New Roman" w:eastAsia="仿宋_GB2312"/>
          <w:sz w:val="32"/>
          <w:szCs w:val="32"/>
        </w:rPr>
        <w:t>职工福利费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年初预算为行政运行功能科目。</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、教育（类）职业教育（款）中等职业教育（项）。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1263.93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3140.77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248.49</w:t>
      </w:r>
      <w:r>
        <w:rPr>
          <w:rFonts w:hint="eastAsia" w:ascii="Times New Roman" w:hAnsi="Times New Roman" w:eastAsia="仿宋_GB2312"/>
          <w:sz w:val="32"/>
          <w:szCs w:val="32"/>
        </w:rPr>
        <w:t>%，决算数大于年初预算数的主要原因是：</w:t>
      </w:r>
      <w:r>
        <w:rPr>
          <w:rFonts w:hint="eastAsia" w:ascii="仿宋" w:hAnsi="仿宋" w:eastAsia="仿宋" w:cs="仿宋"/>
          <w:sz w:val="32"/>
          <w:szCs w:val="32"/>
        </w:rPr>
        <w:t>本年度人员经费、公用经费、项目</w:t>
      </w:r>
      <w:r>
        <w:rPr>
          <w:rFonts w:hint="eastAsia" w:ascii="仿宋" w:hAnsi="仿宋" w:eastAsia="仿宋" w:cs="仿宋"/>
          <w:sz w:val="32"/>
          <w:szCs w:val="32"/>
          <w:lang w:val="en-US" w:eastAsia="zh-CN"/>
        </w:rPr>
        <w:t>支出</w:t>
      </w:r>
      <w:r>
        <w:rPr>
          <w:rFonts w:hint="eastAsia" w:ascii="仿宋" w:hAnsi="仿宋" w:eastAsia="仿宋" w:cs="仿宋"/>
          <w:sz w:val="32"/>
          <w:szCs w:val="32"/>
        </w:rPr>
        <w:t>增加。</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、教育（类）职业教育（款）其他职业教育支出（项）。</w:t>
      </w:r>
    </w:p>
    <w:p>
      <w:pPr>
        <w:pStyle w:val="9"/>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万元，支出决算为270.9万元，</w:t>
      </w:r>
      <w:r>
        <w:rPr>
          <w:rFonts w:hint="eastAsia" w:ascii="Times New Roman" w:hAnsi="Times New Roman" w:eastAsia="仿宋_GB2312"/>
          <w:sz w:val="32"/>
          <w:szCs w:val="32"/>
          <w:lang w:val="en-US" w:eastAsia="zh-CN"/>
        </w:rPr>
        <w:t>无法计算完成百分比</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年中拨</w:t>
      </w:r>
      <w:r>
        <w:rPr>
          <w:rFonts w:hint="eastAsia" w:ascii="Times New Roman" w:hAnsi="Times New Roman" w:eastAsia="仿宋_GB2312"/>
          <w:sz w:val="32"/>
          <w:szCs w:val="32"/>
        </w:rPr>
        <w:t>学院筹建</w:t>
      </w:r>
      <w:r>
        <w:rPr>
          <w:rFonts w:hint="eastAsia" w:ascii="Times New Roman" w:hAnsi="Times New Roman" w:eastAsia="仿宋_GB2312"/>
          <w:sz w:val="32"/>
          <w:szCs w:val="32"/>
          <w:lang w:val="en-US" w:eastAsia="zh-CN"/>
        </w:rPr>
        <w:t>项目</w:t>
      </w:r>
      <w:r>
        <w:rPr>
          <w:rFonts w:hint="eastAsia" w:ascii="Times New Roman" w:hAnsi="Times New Roman" w:eastAsia="仿宋_GB2312"/>
          <w:sz w:val="32"/>
          <w:szCs w:val="32"/>
        </w:rPr>
        <w:t>经费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年初未纳入预算。</w:t>
      </w:r>
    </w:p>
    <w:p>
      <w:pPr>
        <w:pStyle w:val="9"/>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、社会保障和就业（类）行政事业单位养老支出（款）机关事业单位基本养老保险缴费支出（项）。</w:t>
      </w:r>
    </w:p>
    <w:p>
      <w:pPr>
        <w:pStyle w:val="9"/>
        <w:spacing w:line="600" w:lineRule="exact"/>
        <w:ind w:firstLine="640" w:firstLineChars="200"/>
        <w:rPr>
          <w:rFonts w:hint="eastAsia" w:ascii="Times New Roman" w:hAnsi="Times New Roman" w:eastAsia="仿宋_GB2312"/>
          <w:color w:val="000000" w:themeColor="text1"/>
          <w:sz w:val="32"/>
          <w:szCs w:val="32"/>
          <w:highlight w:val="none"/>
          <w14:textFill>
            <w14:solidFill>
              <w14:schemeClr w14:val="tx1"/>
            </w14:solidFill>
          </w14:textFill>
        </w:rPr>
      </w:pPr>
      <w:r>
        <w:rPr>
          <w:rFonts w:hint="eastAsia" w:ascii="Times New Roman" w:hAnsi="Times New Roman" w:eastAsia="仿宋_GB2312"/>
          <w:sz w:val="32"/>
          <w:szCs w:val="32"/>
        </w:rPr>
        <w:t>年初预算为182.85万元，支出决算为178.29万元，完成年初预算</w:t>
      </w:r>
      <w:r>
        <w:rPr>
          <w:rFonts w:hint="eastAsia" w:ascii="Times New Roman" w:hAnsi="Times New Roman" w:eastAsia="仿宋_GB2312"/>
          <w:sz w:val="32"/>
          <w:szCs w:val="32"/>
          <w:lang w:val="en-US" w:eastAsia="zh-CN"/>
        </w:rPr>
        <w:t>的97.51</w:t>
      </w:r>
      <w:r>
        <w:rPr>
          <w:rFonts w:hint="eastAsia" w:ascii="Times New Roman" w:hAnsi="Times New Roman" w:eastAsia="仿宋_GB2312"/>
          <w:sz w:val="32"/>
          <w:szCs w:val="32"/>
        </w:rPr>
        <w:t>%，</w:t>
      </w:r>
      <w:r>
        <w:rPr>
          <w:rFonts w:hint="eastAsia" w:ascii="Times New Roman" w:hAnsi="Times New Roman" w:eastAsia="仿宋_GB2312"/>
          <w:color w:val="000000" w:themeColor="text1"/>
          <w:sz w:val="32"/>
          <w:szCs w:val="32"/>
          <w:highlight w:val="none"/>
          <w14:textFill>
            <w14:solidFill>
              <w14:schemeClr w14:val="tx1"/>
            </w14:solidFill>
          </w14:textFill>
        </w:rPr>
        <w:t>决算数</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小于</w:t>
      </w:r>
      <w:r>
        <w:rPr>
          <w:rFonts w:hint="eastAsia" w:ascii="Times New Roman" w:hAnsi="Times New Roman" w:eastAsia="仿宋_GB2312"/>
          <w:color w:val="000000" w:themeColor="text1"/>
          <w:sz w:val="32"/>
          <w:szCs w:val="32"/>
          <w:highlight w:val="none"/>
          <w14:textFill>
            <w14:solidFill>
              <w14:schemeClr w14:val="tx1"/>
            </w14:solidFill>
          </w14:textFill>
        </w:rPr>
        <w:t>年初预算数的主要原因是：</w:t>
      </w:r>
      <w:r>
        <w:rPr>
          <w:rFonts w:ascii="Times New Roman" w:hAnsi="Times New Roman" w:eastAsia="仿宋_GB2312" w:cs="Times New Roman"/>
          <w:sz w:val="32"/>
          <w:szCs w:val="32"/>
        </w:rPr>
        <w:t>本年度基本养老保险缴费支出减少。</w:t>
      </w:r>
    </w:p>
    <w:p>
      <w:pPr>
        <w:pStyle w:val="9"/>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、社会保障和就业（类）就业补助（款）其他就业补助支出（项）。</w:t>
      </w:r>
    </w:p>
    <w:p>
      <w:pPr>
        <w:pStyle w:val="9"/>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万元，支出决算为37.49万元，</w:t>
      </w:r>
      <w:r>
        <w:rPr>
          <w:rFonts w:hint="eastAsia" w:ascii="Times New Roman" w:hAnsi="Times New Roman" w:eastAsia="仿宋_GB2312"/>
          <w:sz w:val="32"/>
          <w:szCs w:val="32"/>
          <w:lang w:val="en-US" w:eastAsia="zh-CN"/>
        </w:rPr>
        <w:t>无法计算完成百分比</w:t>
      </w:r>
      <w:r>
        <w:rPr>
          <w:rFonts w:hint="eastAsia" w:ascii="Times New Roman" w:hAnsi="Times New Roman" w:eastAsia="仿宋_GB2312"/>
          <w:sz w:val="32"/>
          <w:szCs w:val="32"/>
        </w:rPr>
        <w:t>，</w:t>
      </w:r>
      <w:r>
        <w:rPr>
          <w:rFonts w:hint="eastAsia" w:ascii="Times New Roman" w:hAnsi="Times New Roman" w:eastAsia="仿宋_GB2312"/>
          <w:color w:val="000000" w:themeColor="text1"/>
          <w:sz w:val="32"/>
          <w:szCs w:val="32"/>
          <w:highlight w:val="none"/>
          <w14:textFill>
            <w14:solidFill>
              <w14:schemeClr w14:val="tx1"/>
            </w14:solidFill>
          </w14:textFill>
        </w:rPr>
        <w:t>决算数大于年初预算数的主要原因是：</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拨</w:t>
      </w:r>
      <w:r>
        <w:rPr>
          <w:rFonts w:hint="eastAsia" w:ascii="Times New Roman" w:hAnsi="Times New Roman" w:eastAsia="仿宋_GB2312"/>
          <w:color w:val="000000" w:themeColor="text1"/>
          <w:sz w:val="32"/>
          <w:szCs w:val="32"/>
          <w:highlight w:val="none"/>
          <w14:textFill>
            <w14:solidFill>
              <w14:schemeClr w14:val="tx1"/>
            </w14:solidFill>
          </w14:textFill>
        </w:rPr>
        <w:t>实训补贴</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专项</w:t>
      </w:r>
      <w:r>
        <w:rPr>
          <w:rFonts w:hint="eastAsia" w:ascii="Times New Roman" w:hAnsi="Times New Roman" w:eastAsia="仿宋_GB2312"/>
          <w:color w:val="000000" w:themeColor="text1"/>
          <w:sz w:val="32"/>
          <w:szCs w:val="32"/>
          <w:highlight w:val="none"/>
          <w14:textFill>
            <w14:solidFill>
              <w14:schemeClr w14:val="tx1"/>
            </w14:solidFill>
          </w14:textFill>
        </w:rPr>
        <w:t>资金</w:t>
      </w:r>
      <w:r>
        <w:rPr>
          <w:rFonts w:hint="eastAsia" w:ascii="Times New Roman" w:hAnsi="Times New Roman" w:eastAsia="仿宋_GB2312"/>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年初未纳入预算。</w:t>
      </w:r>
    </w:p>
    <w:p>
      <w:pPr>
        <w:pStyle w:val="9"/>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卫</w:t>
      </w:r>
      <w:r>
        <w:rPr>
          <w:rFonts w:hint="eastAsia" w:ascii="Times New Roman" w:hAnsi="Times New Roman" w:eastAsia="仿宋_GB2312"/>
          <w:sz w:val="32"/>
          <w:szCs w:val="32"/>
        </w:rPr>
        <w:t>生健康（类）公共卫生（款）突发公共卫生事件应急处理（项）。</w:t>
      </w:r>
    </w:p>
    <w:p>
      <w:pPr>
        <w:pStyle w:val="9"/>
        <w:spacing w:line="600" w:lineRule="exact"/>
        <w:ind w:firstLine="640" w:firstLineChars="200"/>
        <w:rPr>
          <w:rFonts w:hint="default" w:ascii="Times New Roman" w:hAnsi="Times New Roman" w:eastAsia="仿宋_GB2312"/>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万元，支出决算为3.04万元，</w:t>
      </w:r>
      <w:r>
        <w:rPr>
          <w:rFonts w:hint="eastAsia" w:ascii="Times New Roman" w:hAnsi="Times New Roman" w:eastAsia="仿宋_GB2312"/>
          <w:sz w:val="32"/>
          <w:szCs w:val="32"/>
          <w:lang w:val="en-US" w:eastAsia="zh-CN"/>
        </w:rPr>
        <w:t>无法计算完成百分比</w:t>
      </w:r>
      <w:r>
        <w:rPr>
          <w:rFonts w:hint="eastAsia" w:ascii="Times New Roman" w:hAnsi="Times New Roman" w:eastAsia="仿宋_GB2312"/>
          <w:sz w:val="32"/>
          <w:szCs w:val="32"/>
        </w:rPr>
        <w:t>，</w:t>
      </w:r>
      <w:r>
        <w:rPr>
          <w:rFonts w:hint="eastAsia" w:ascii="Times New Roman" w:hAnsi="Times New Roman" w:eastAsia="仿宋_GB2312"/>
          <w:color w:val="000000" w:themeColor="text1"/>
          <w:sz w:val="32"/>
          <w:szCs w:val="32"/>
          <w:highlight w:val="none"/>
          <w14:textFill>
            <w14:solidFill>
              <w14:schemeClr w14:val="tx1"/>
            </w14:solidFill>
          </w14:textFill>
        </w:rPr>
        <w:t>决算数大于年初预算数的主要原因是：</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年中拨</w:t>
      </w:r>
      <w:r>
        <w:rPr>
          <w:rFonts w:hint="eastAsia" w:ascii="Times New Roman" w:hAnsi="Times New Roman" w:eastAsia="仿宋_GB2312"/>
          <w:color w:val="000000" w:themeColor="text1"/>
          <w:sz w:val="32"/>
          <w:szCs w:val="32"/>
          <w:highlight w:val="none"/>
          <w14:textFill>
            <w14:solidFill>
              <w14:schemeClr w14:val="tx1"/>
            </w14:solidFill>
          </w14:textFill>
        </w:rPr>
        <w:t>抗疫补助资金</w:t>
      </w:r>
      <w:r>
        <w:rPr>
          <w:rFonts w:hint="eastAsia" w:ascii="Times New Roman" w:hAnsi="Times New Roman" w:eastAsia="仿宋_GB2312"/>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年初未纳入预算。</w:t>
      </w:r>
    </w:p>
    <w:p>
      <w:pPr>
        <w:pStyle w:val="9"/>
        <w:numPr>
          <w:ilvl w:val="0"/>
          <w:numId w:val="0"/>
        </w:num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卫生健康（类）行政事业单位医疗（款）</w:t>
      </w:r>
      <w:r>
        <w:rPr>
          <w:rFonts w:hint="eastAsia" w:ascii="Times New Roman" w:hAnsi="Times New Roman" w:eastAsia="仿宋_GB2312"/>
          <w:sz w:val="32"/>
          <w:szCs w:val="32"/>
          <w:lang w:val="en-US" w:eastAsia="zh-CN"/>
        </w:rPr>
        <w:t>事业</w:t>
      </w:r>
      <w:r>
        <w:rPr>
          <w:rFonts w:hint="eastAsia" w:ascii="Times New Roman" w:hAnsi="Times New Roman" w:eastAsia="仿宋_GB2312"/>
          <w:sz w:val="32"/>
          <w:szCs w:val="32"/>
        </w:rPr>
        <w:t>单位医疗（项）。</w:t>
      </w:r>
    </w:p>
    <w:p>
      <w:pPr>
        <w:pStyle w:val="9"/>
        <w:numPr>
          <w:ilvl w:val="0"/>
          <w:numId w:val="0"/>
        </w:numPr>
        <w:spacing w:line="600" w:lineRule="exact"/>
        <w:ind w:firstLine="640" w:firstLineChars="200"/>
        <w:rPr>
          <w:rFonts w:hint="default" w:ascii="Times New Roman" w:hAnsi="Times New Roman" w:eastAsia="仿宋_GB2312"/>
          <w:color w:val="000000" w:themeColor="text1"/>
          <w:sz w:val="32"/>
          <w:szCs w:val="32"/>
          <w:highlight w:val="none"/>
          <w:lang w:val="en-US"/>
          <w14:textFill>
            <w14:solidFill>
              <w14:schemeClr w14:val="tx1"/>
            </w14:solidFill>
          </w14:textFill>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万元，支出决算为94.41万元，</w:t>
      </w:r>
      <w:r>
        <w:rPr>
          <w:rFonts w:hint="eastAsia" w:ascii="Times New Roman" w:hAnsi="Times New Roman" w:eastAsia="仿宋_GB2312"/>
          <w:sz w:val="32"/>
          <w:szCs w:val="32"/>
          <w:lang w:val="en-US" w:eastAsia="zh-CN"/>
        </w:rPr>
        <w:t>无法计算完成百分比</w:t>
      </w:r>
      <w:r>
        <w:rPr>
          <w:rFonts w:hint="eastAsia" w:ascii="Times New Roman" w:hAnsi="Times New Roman" w:eastAsia="仿宋_GB2312"/>
          <w:sz w:val="32"/>
          <w:szCs w:val="32"/>
        </w:rPr>
        <w:t>，</w:t>
      </w:r>
      <w:r>
        <w:rPr>
          <w:rFonts w:hint="eastAsia" w:ascii="Times New Roman" w:hAnsi="Times New Roman" w:eastAsia="仿宋_GB2312"/>
          <w:color w:val="000000" w:themeColor="text1"/>
          <w:sz w:val="32"/>
          <w:szCs w:val="32"/>
          <w:highlight w:val="none"/>
          <w14:textFill>
            <w14:solidFill>
              <w14:schemeClr w14:val="tx1"/>
            </w14:solidFill>
          </w14:textFill>
        </w:rPr>
        <w:t>决算数大于年初预算数的主要原因是：</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基本医疗保险缴费下达资金功能科目与年初预算不一致，年初预算功能科目为</w:t>
      </w:r>
      <w:r>
        <w:rPr>
          <w:rFonts w:hint="eastAsia" w:ascii="Times New Roman" w:hAnsi="Times New Roman" w:eastAsia="仿宋_GB2312"/>
          <w:sz w:val="32"/>
          <w:szCs w:val="32"/>
          <w:lang w:val="en-US" w:eastAsia="zh-CN"/>
        </w:rPr>
        <w:t>其他行政事业单位医疗支出</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w:t>
      </w:r>
    </w:p>
    <w:p>
      <w:pPr>
        <w:pStyle w:val="9"/>
        <w:numPr>
          <w:ilvl w:val="0"/>
          <w:numId w:val="0"/>
        </w:num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卫生健康（类）行政事业单位医疗（款）</w:t>
      </w:r>
      <w:r>
        <w:rPr>
          <w:rFonts w:hint="eastAsia" w:ascii="Times New Roman" w:hAnsi="Times New Roman" w:eastAsia="仿宋_GB2312"/>
          <w:sz w:val="32"/>
          <w:szCs w:val="32"/>
          <w:lang w:val="en-US" w:eastAsia="zh-CN"/>
        </w:rPr>
        <w:t>其他行政事业单位医疗支出</w:t>
      </w:r>
      <w:r>
        <w:rPr>
          <w:rFonts w:hint="eastAsia" w:ascii="Times New Roman" w:hAnsi="Times New Roman" w:eastAsia="仿宋_GB2312"/>
          <w:sz w:val="32"/>
          <w:szCs w:val="32"/>
        </w:rPr>
        <w:t>（项）。</w:t>
      </w:r>
    </w:p>
    <w:p>
      <w:pPr>
        <w:pStyle w:val="9"/>
        <w:numPr>
          <w:ilvl w:val="0"/>
          <w:numId w:val="0"/>
        </w:numPr>
        <w:spacing w:line="600" w:lineRule="exact"/>
        <w:ind w:firstLine="640" w:firstLineChars="200"/>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97.14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color w:val="000000" w:themeColor="text1"/>
          <w:sz w:val="32"/>
          <w:szCs w:val="32"/>
          <w:highlight w:val="none"/>
          <w14:textFill>
            <w14:solidFill>
              <w14:schemeClr w14:val="tx1"/>
            </w14:solidFill>
          </w14:textFill>
        </w:rPr>
        <w:t>决算数</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小于</w:t>
      </w:r>
      <w:r>
        <w:rPr>
          <w:rFonts w:hint="eastAsia" w:ascii="Times New Roman" w:hAnsi="Times New Roman" w:eastAsia="仿宋_GB2312"/>
          <w:color w:val="000000" w:themeColor="text1"/>
          <w:sz w:val="32"/>
          <w:szCs w:val="32"/>
          <w:highlight w:val="none"/>
          <w14:textFill>
            <w14:solidFill>
              <w14:schemeClr w14:val="tx1"/>
            </w14:solidFill>
          </w14:textFill>
        </w:rPr>
        <w:t>年初预算数的主要原因是：</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基本医疗保险缴费下达资金功能科目与年初预算不一致，下达资金功能科目为</w:t>
      </w:r>
      <w:r>
        <w:rPr>
          <w:rFonts w:hint="eastAsia" w:ascii="Times New Roman" w:hAnsi="Times New Roman" w:eastAsia="仿宋_GB2312"/>
          <w:sz w:val="32"/>
          <w:szCs w:val="32"/>
          <w:lang w:val="en-US" w:eastAsia="zh-CN"/>
        </w:rPr>
        <w:t>事业</w:t>
      </w:r>
      <w:r>
        <w:rPr>
          <w:rFonts w:hint="eastAsia" w:ascii="Times New Roman" w:hAnsi="Times New Roman" w:eastAsia="仿宋_GB2312"/>
          <w:sz w:val="32"/>
          <w:szCs w:val="32"/>
        </w:rPr>
        <w:t>单位医疗</w:t>
      </w:r>
      <w:r>
        <w:rPr>
          <w:rFonts w:hint="eastAsia" w:ascii="Times New Roman" w:hAnsi="Times New Roman" w:eastAsia="仿宋_GB2312"/>
          <w:sz w:val="32"/>
          <w:szCs w:val="32"/>
          <w:lang w:eastAsia="zh-CN"/>
        </w:rPr>
        <w:t>。</w:t>
      </w:r>
    </w:p>
    <w:p>
      <w:pPr>
        <w:pStyle w:val="9"/>
        <w:numPr>
          <w:ilvl w:val="0"/>
          <w:numId w:val="0"/>
        </w:numPr>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年度财政拨款基本支出2979.12万元，其中：</w:t>
      </w:r>
    </w:p>
    <w:p>
      <w:pPr>
        <w:pStyle w:val="9"/>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2458.99万元，占基本支出的</w:t>
      </w:r>
      <w:r>
        <w:rPr>
          <w:rFonts w:hint="eastAsia" w:ascii="Times New Roman" w:hAnsi="Times New Roman" w:eastAsia="仿宋_GB2312"/>
          <w:sz w:val="32"/>
          <w:szCs w:val="32"/>
          <w:lang w:val="en-US" w:eastAsia="zh-CN"/>
        </w:rPr>
        <w:t>82.54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val="en-US" w:eastAsia="zh-CN"/>
        </w:rPr>
        <w:t>伙食补助费、</w:t>
      </w:r>
      <w:r>
        <w:rPr>
          <w:rFonts w:hint="eastAsia" w:ascii="Times New Roman" w:hAnsi="Times New Roman" w:eastAsia="仿宋_GB2312"/>
          <w:sz w:val="32"/>
          <w:szCs w:val="32"/>
        </w:rPr>
        <w:t>绩效工资、机关事业单位基本养老保险缴费、  职业年金缴费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职工基本医疗保险缴费、其他社会保障缴费、住房公积金</w:t>
      </w:r>
      <w:r>
        <w:rPr>
          <w:rFonts w:hint="eastAsia" w:ascii="Times New Roman" w:hAnsi="Times New Roman" w:eastAsia="仿宋_GB2312"/>
          <w:sz w:val="32"/>
          <w:szCs w:val="32"/>
          <w:lang w:eastAsia="zh-CN"/>
        </w:rPr>
        <w:t>、其他工资福利支出、</w:t>
      </w:r>
      <w:r>
        <w:rPr>
          <w:rFonts w:hint="eastAsia" w:ascii="Times New Roman" w:hAnsi="Times New Roman" w:eastAsia="仿宋_GB2312"/>
          <w:sz w:val="32"/>
          <w:szCs w:val="32"/>
        </w:rPr>
        <w:t>抚恤金、生活补助、助学金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奖励金</w:t>
      </w:r>
      <w:r>
        <w:rPr>
          <w:rFonts w:hint="eastAsia" w:ascii="Times New Roman" w:hAnsi="Times New Roman" w:eastAsia="仿宋_GB2312"/>
          <w:sz w:val="32"/>
          <w:szCs w:val="32"/>
          <w:lang w:eastAsia="zh-CN"/>
        </w:rPr>
        <w:t>、其他对个人和家庭的补助。</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520.13万元，占基本支出的</w:t>
      </w:r>
      <w:r>
        <w:rPr>
          <w:rFonts w:hint="eastAsia" w:ascii="Times New Roman" w:hAnsi="Times New Roman" w:eastAsia="仿宋_GB2312"/>
          <w:sz w:val="32"/>
          <w:szCs w:val="32"/>
          <w:lang w:val="en-US" w:eastAsia="zh-CN"/>
        </w:rPr>
        <w:t>17.46</w:t>
      </w:r>
      <w:r>
        <w:rPr>
          <w:rFonts w:hint="eastAsia" w:ascii="Times New Roman" w:hAnsi="Times New Roman" w:eastAsia="仿宋_GB2312"/>
          <w:sz w:val="32"/>
          <w:szCs w:val="32"/>
        </w:rPr>
        <w:t>%，主要包括办公费、</w:t>
      </w:r>
      <w:r>
        <w:rPr>
          <w:rFonts w:hint="eastAsia" w:ascii="Times New Roman" w:hAnsi="Times New Roman" w:eastAsia="仿宋_GB2312"/>
          <w:sz w:val="32"/>
          <w:szCs w:val="32"/>
          <w:lang w:val="en-US" w:eastAsia="zh-CN"/>
        </w:rPr>
        <w:t>水</w:t>
      </w:r>
      <w:r>
        <w:rPr>
          <w:rFonts w:hint="eastAsia" w:ascii="Times New Roman" w:hAnsi="Times New Roman" w:eastAsia="仿宋_GB2312"/>
          <w:sz w:val="32"/>
          <w:szCs w:val="32"/>
        </w:rPr>
        <w:t>费、</w:t>
      </w:r>
      <w:r>
        <w:rPr>
          <w:rFonts w:hint="eastAsia" w:ascii="Times New Roman" w:hAnsi="Times New Roman" w:eastAsia="仿宋_GB2312"/>
          <w:sz w:val="32"/>
          <w:szCs w:val="32"/>
          <w:lang w:val="en-US" w:eastAsia="zh-CN"/>
        </w:rPr>
        <w:t>电</w:t>
      </w:r>
      <w:r>
        <w:rPr>
          <w:rFonts w:hint="eastAsia" w:ascii="Times New Roman" w:hAnsi="Times New Roman" w:eastAsia="仿宋_GB2312"/>
          <w:sz w:val="32"/>
          <w:szCs w:val="32"/>
        </w:rPr>
        <w:t>费、</w:t>
      </w:r>
      <w:r>
        <w:rPr>
          <w:rFonts w:hint="eastAsia" w:ascii="Times New Roman" w:hAnsi="Times New Roman" w:eastAsia="仿宋_GB2312"/>
          <w:sz w:val="32"/>
          <w:szCs w:val="32"/>
          <w:lang w:val="en-US" w:eastAsia="zh-CN"/>
        </w:rPr>
        <w:t>邮电</w:t>
      </w:r>
      <w:r>
        <w:rPr>
          <w:rFonts w:hint="eastAsia" w:ascii="Times New Roman" w:hAnsi="Times New Roman" w:eastAsia="仿宋_GB2312"/>
          <w:sz w:val="32"/>
          <w:szCs w:val="32"/>
        </w:rPr>
        <w:t>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物业管理费、差旅费、维修（护）费、公务接待费、专用材料费、专用燃料费、劳务费、工会经费、福利费、其他交通费用、其他商品和服务支出、办公设备购置、专用设备购置</w:t>
      </w:r>
      <w:r>
        <w:rPr>
          <w:rFonts w:hint="eastAsia" w:ascii="Times New Roman" w:hAnsi="Times New Roman" w:eastAsia="仿宋_GB2312"/>
          <w:sz w:val="32"/>
          <w:szCs w:val="32"/>
        </w:rPr>
        <w:t>。</w:t>
      </w:r>
    </w:p>
    <w:p>
      <w:pPr>
        <w:pStyle w:val="9"/>
        <w:keepNext w:val="0"/>
        <w:keepLines w:val="0"/>
        <w:pageBreakBefore w:val="0"/>
        <w:widowControl w:val="0"/>
        <w:numPr>
          <w:ilvl w:val="0"/>
          <w:numId w:val="1"/>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pPr>
        <w:pStyle w:val="9"/>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“三公”经费财政拨款支出预算为0.28万元，支出决算为0.28万元，完成预算的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 w:hAnsi="仿宋" w:eastAsia="仿宋" w:cs="仿宋"/>
          <w:sz w:val="32"/>
          <w:szCs w:val="32"/>
        </w:rPr>
        <w:t>决算数与年初预算数持平，主要原因</w:t>
      </w:r>
      <w:r>
        <w:rPr>
          <w:rFonts w:hint="eastAsia" w:ascii="仿宋" w:hAnsi="仿宋" w:eastAsia="仿宋" w:cs="仿宋"/>
          <w:sz w:val="32"/>
          <w:szCs w:val="32"/>
          <w:lang w:val="en-US" w:eastAsia="zh-CN"/>
        </w:rPr>
        <w:t>是</w:t>
      </w:r>
      <w:r>
        <w:rPr>
          <w:rFonts w:hint="eastAsia" w:ascii="仿宋" w:hAnsi="仿宋" w:eastAsia="仿宋" w:cs="仿宋"/>
          <w:sz w:val="32"/>
          <w:szCs w:val="32"/>
        </w:rPr>
        <w:t>按预算执行，与上年数持平，主要原因本年度未安排因公出国（境）。</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0.28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0.28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val="en-US" w:eastAsia="zh-CN"/>
        </w:rPr>
        <w:t>严格按预算开支</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1.79</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86.47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减少的主要原因是</w:t>
      </w:r>
      <w:r>
        <w:rPr>
          <w:rFonts w:hint="eastAsia" w:ascii="仿宋" w:hAnsi="仿宋" w:eastAsia="仿宋" w:cs="仿宋"/>
          <w:sz w:val="32"/>
          <w:szCs w:val="32"/>
        </w:rPr>
        <w:t>厉行节约，减少开支</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 w:hAnsi="仿宋" w:eastAsia="仿宋" w:cs="仿宋"/>
          <w:sz w:val="32"/>
          <w:szCs w:val="32"/>
        </w:rPr>
        <w:t>决算数与年初预算数持平，主要原因</w:t>
      </w:r>
      <w:r>
        <w:rPr>
          <w:rFonts w:hint="eastAsia" w:ascii="仿宋" w:hAnsi="仿宋" w:eastAsia="仿宋" w:cs="仿宋"/>
          <w:sz w:val="32"/>
          <w:szCs w:val="32"/>
          <w:lang w:val="en-US" w:eastAsia="zh-CN"/>
        </w:rPr>
        <w:t>是</w:t>
      </w:r>
      <w:r>
        <w:rPr>
          <w:rFonts w:hint="eastAsia" w:ascii="仿宋" w:hAnsi="仿宋" w:eastAsia="仿宋" w:cs="仿宋"/>
          <w:sz w:val="32"/>
          <w:szCs w:val="32"/>
        </w:rPr>
        <w:t>按预算执行，与上年数持平，主要原因本年度未</w:t>
      </w:r>
      <w:r>
        <w:rPr>
          <w:rFonts w:hint="eastAsia" w:ascii="仿宋" w:hAnsi="仿宋" w:eastAsia="仿宋" w:cs="仿宋"/>
          <w:sz w:val="32"/>
          <w:szCs w:val="32"/>
          <w:lang w:val="en-US" w:eastAsia="zh-CN"/>
        </w:rPr>
        <w:t>安排</w:t>
      </w:r>
      <w:r>
        <w:rPr>
          <w:rFonts w:hint="eastAsia" w:ascii="Times New Roman" w:hAnsi="Times New Roman" w:eastAsia="仿宋_GB2312"/>
          <w:sz w:val="32"/>
          <w:szCs w:val="32"/>
        </w:rPr>
        <w:t>公务用车购置</w:t>
      </w:r>
      <w:r>
        <w:rPr>
          <w:rFonts w:hint="eastAsia" w:ascii="仿宋" w:hAnsi="仿宋" w:eastAsia="仿宋" w:cs="仿宋"/>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仿宋" w:hAnsi="仿宋" w:eastAsia="仿宋" w:cs="仿宋"/>
          <w:sz w:val="32"/>
          <w:szCs w:val="32"/>
        </w:rPr>
        <w:t>决算数与年初预算数持平，主要原因</w:t>
      </w:r>
      <w:r>
        <w:rPr>
          <w:rFonts w:hint="eastAsia" w:ascii="仿宋" w:hAnsi="仿宋" w:eastAsia="仿宋" w:cs="仿宋"/>
          <w:sz w:val="32"/>
          <w:szCs w:val="32"/>
          <w:lang w:val="en-US" w:eastAsia="zh-CN"/>
        </w:rPr>
        <w:t>是</w:t>
      </w:r>
      <w:r>
        <w:rPr>
          <w:rFonts w:hint="eastAsia" w:ascii="仿宋" w:hAnsi="仿宋" w:eastAsia="仿宋" w:cs="仿宋"/>
          <w:sz w:val="32"/>
          <w:szCs w:val="32"/>
        </w:rPr>
        <w:t>按预算执行，与上年数持平，主要原因</w:t>
      </w:r>
      <w:r>
        <w:rPr>
          <w:rFonts w:hint="eastAsia" w:ascii="仿宋" w:hAnsi="仿宋" w:eastAsia="仿宋" w:cs="仿宋"/>
          <w:sz w:val="32"/>
          <w:szCs w:val="32"/>
          <w:lang w:val="en-US" w:eastAsia="zh-CN"/>
        </w:rPr>
        <w:t>是本单位无公务用车，无相关支出</w:t>
      </w:r>
      <w:r>
        <w:rPr>
          <w:rFonts w:hint="eastAsia" w:ascii="仿宋" w:hAnsi="仿宋" w:eastAsia="仿宋" w:cs="仿宋"/>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highlight w:val="yellow"/>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0.28</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107</w:t>
      </w:r>
      <w:r>
        <w:rPr>
          <w:rFonts w:hint="eastAsia" w:ascii="Times New Roman" w:hAnsi="Times New Roman" w:eastAsia="仿宋_GB2312"/>
          <w:sz w:val="32"/>
          <w:szCs w:val="32"/>
        </w:rPr>
        <w:t>人次</w:t>
      </w:r>
      <w:r>
        <w:rPr>
          <w:rFonts w:hint="eastAsia" w:ascii="Times New Roman" w:hAnsi="Times New Roman" w:eastAsia="仿宋_GB2312"/>
          <w:sz w:val="32"/>
          <w:szCs w:val="32"/>
          <w:highlight w:val="none"/>
        </w:rPr>
        <w:t>，主要是</w:t>
      </w:r>
      <w:r>
        <w:rPr>
          <w:rFonts w:hint="eastAsia" w:ascii="Times New Roman" w:hAnsi="Times New Roman" w:eastAsia="仿宋_GB2312"/>
          <w:sz w:val="32"/>
          <w:szCs w:val="32"/>
          <w:highlight w:val="none"/>
          <w:lang w:val="en-US" w:eastAsia="zh-CN"/>
        </w:rPr>
        <w:t>录课及技能鉴定</w:t>
      </w:r>
      <w:r>
        <w:rPr>
          <w:rFonts w:hint="eastAsia" w:ascii="Times New Roman" w:hAnsi="Times New Roman" w:eastAsia="仿宋_GB2312"/>
          <w:sz w:val="32"/>
          <w:szCs w:val="32"/>
          <w:highlight w:val="none"/>
        </w:rPr>
        <w:t>发生的接待支出。</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32"/>
          <w:szCs w:val="32"/>
        </w:rPr>
      </w:pPr>
      <w:r>
        <w:rPr>
          <w:rFonts w:hint="eastAsia" w:ascii="仿宋" w:hAnsi="仿宋" w:eastAsia="仿宋" w:cs="仿宋"/>
          <w:sz w:val="32"/>
          <w:szCs w:val="32"/>
        </w:rPr>
        <w:t>本单位</w:t>
      </w:r>
      <w:r>
        <w:rPr>
          <w:rFonts w:hint="eastAsia" w:ascii="仿宋" w:hAnsi="仿宋" w:eastAsia="仿宋" w:cs="仿宋"/>
          <w:sz w:val="32"/>
          <w:szCs w:val="32"/>
          <w:lang w:val="en-US" w:eastAsia="zh-CN"/>
        </w:rPr>
        <w:t>2022年</w:t>
      </w:r>
      <w:r>
        <w:rPr>
          <w:rFonts w:hint="eastAsia" w:ascii="仿宋" w:hAnsi="仿宋" w:eastAsia="仿宋" w:cs="仿宋"/>
          <w:sz w:val="32"/>
          <w:szCs w:val="32"/>
        </w:rPr>
        <w:t>无政府性基金收支。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bidi="ar-SA"/>
        </w:rPr>
        <w:t>九、国有资本经营预算财政拨款收入支出决算情况说明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
          <w:sz w:val="32"/>
          <w:szCs w:val="32"/>
        </w:rPr>
      </w:pPr>
      <w:r>
        <w:rPr>
          <w:rFonts w:hint="eastAsia" w:ascii="仿宋" w:hAnsi="仿宋" w:eastAsia="仿宋" w:cs="仿宋"/>
          <w:sz w:val="32"/>
          <w:szCs w:val="32"/>
        </w:rPr>
        <w:t>本单位</w:t>
      </w:r>
      <w:r>
        <w:rPr>
          <w:rFonts w:hint="eastAsia" w:ascii="仿宋" w:hAnsi="仿宋" w:eastAsia="仿宋" w:cs="仿宋"/>
          <w:sz w:val="32"/>
          <w:szCs w:val="32"/>
          <w:lang w:val="en-US" w:eastAsia="zh-CN"/>
        </w:rPr>
        <w:t>2022年</w:t>
      </w:r>
      <w:r>
        <w:rPr>
          <w:rFonts w:hint="eastAsia" w:ascii="仿宋" w:hAnsi="仿宋" w:eastAsia="仿宋" w:cs="仿宋"/>
          <w:sz w:val="32"/>
          <w:szCs w:val="32"/>
        </w:rPr>
        <w:t>无国有资本经营预算财政拨款</w:t>
      </w:r>
      <w:r>
        <w:rPr>
          <w:rFonts w:hint="eastAsia" w:ascii="仿宋" w:hAnsi="仿宋" w:eastAsia="仿宋" w:cs="仿宋"/>
          <w:sz w:val="32"/>
          <w:szCs w:val="32"/>
          <w:lang w:eastAsia="zh-CN"/>
        </w:rPr>
        <w:t>收</w:t>
      </w:r>
      <w:r>
        <w:rPr>
          <w:rFonts w:hint="eastAsia" w:ascii="仿宋" w:hAnsi="仿宋" w:eastAsia="仿宋" w:cs="仿宋"/>
          <w:sz w:val="32"/>
          <w:szCs w:val="32"/>
        </w:rPr>
        <w:t>支</w:t>
      </w:r>
      <w:r>
        <w:rPr>
          <w:rFonts w:hint="eastAsia" w:ascii="仿宋" w:hAnsi="仿宋" w:eastAsia="仿宋" w:cs="仿宋"/>
          <w:sz w:val="32"/>
          <w:szCs w:val="32"/>
          <w:lang w:eastAsia="zh-CN"/>
        </w:rPr>
        <w:t>。</w:t>
      </w:r>
      <w:bookmarkStart w:id="0" w:name="_GoBack"/>
      <w:bookmarkEnd w:id="0"/>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color w:val="000000"/>
          <w:kern w:val="0"/>
          <w:sz w:val="32"/>
          <w:szCs w:val="32"/>
          <w:lang w:val="en-US" w:eastAsia="zh-CN" w:bidi="ar-SA"/>
        </w:rPr>
      </w:pPr>
      <w:r>
        <w:rPr>
          <w:rFonts w:hint="eastAsia" w:hAnsi="黑体" w:cs="黑体"/>
          <w:b w:val="0"/>
          <w:bCs/>
          <w:color w:val="000000"/>
          <w:kern w:val="0"/>
          <w:sz w:val="32"/>
          <w:szCs w:val="32"/>
          <w:lang w:val="en-US" w:eastAsia="zh-CN" w:bidi="ar-SA"/>
        </w:rPr>
        <w:t>十</w:t>
      </w:r>
      <w:r>
        <w:rPr>
          <w:rFonts w:hint="eastAsia" w:ascii="黑体" w:hAnsi="黑体" w:eastAsia="黑体" w:cs="黑体"/>
          <w:b w:val="0"/>
          <w:bCs/>
          <w:color w:val="000000"/>
          <w:kern w:val="0"/>
          <w:sz w:val="32"/>
          <w:szCs w:val="32"/>
          <w:lang w:val="en-US" w:eastAsia="zh-CN" w:bidi="ar-SA"/>
        </w:rPr>
        <w:t>、关于机关运行经费支出说明</w:t>
      </w:r>
    </w:p>
    <w:p>
      <w:pPr>
        <w:pStyle w:val="9"/>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万元。主要原因是：本单位</w:t>
      </w:r>
      <w:r>
        <w:rPr>
          <w:rFonts w:hint="eastAsia" w:ascii="Times New Roman" w:hAnsi="Times New Roman" w:eastAsia="仿宋_GB2312"/>
          <w:sz w:val="32"/>
          <w:szCs w:val="32"/>
          <w:lang w:val="en-US" w:eastAsia="zh-CN"/>
        </w:rPr>
        <w:t>为公益一类事业单位，</w:t>
      </w:r>
      <w:r>
        <w:rPr>
          <w:rFonts w:hint="eastAsia" w:ascii="Times New Roman" w:hAnsi="Times New Roman" w:eastAsia="仿宋_GB2312"/>
          <w:sz w:val="32"/>
          <w:szCs w:val="32"/>
        </w:rPr>
        <w:t>不属于行政单位（包括参照公务员法管理的事业单位），无机关运行经费。</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val="en-US" w:eastAsia="zh-CN"/>
        </w:rPr>
        <w:t>一</w:t>
      </w:r>
      <w:r>
        <w:rPr>
          <w:rFonts w:hint="eastAsia" w:ascii="黑体" w:hAnsi="黑体" w:eastAsia="黑体" w:cs="黑体"/>
          <w:b w:val="0"/>
          <w:bCs/>
          <w:sz w:val="32"/>
          <w:szCs w:val="32"/>
        </w:rPr>
        <w:t>、一般性支出情况说明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未</w:t>
      </w:r>
      <w:r>
        <w:rPr>
          <w:rFonts w:hint="eastAsia" w:ascii="Times New Roman" w:hAnsi="Times New Roman" w:eastAsia="仿宋_GB2312"/>
          <w:sz w:val="32"/>
          <w:szCs w:val="32"/>
        </w:rPr>
        <w:t>举办节庆、晚会、论坛、赛事活动</w:t>
      </w:r>
      <w:r>
        <w:rPr>
          <w:rFonts w:hint="eastAsia" w:ascii="Times New Roman" w:hAnsi="Times New Roman" w:eastAsia="仿宋_GB2312"/>
          <w:sz w:val="32"/>
          <w:szCs w:val="32"/>
          <w:lang w:eastAsia="zh-CN"/>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val="en-US" w:eastAsia="zh-CN"/>
        </w:rPr>
        <w:t>二</w:t>
      </w:r>
      <w:r>
        <w:rPr>
          <w:rFonts w:hint="eastAsia" w:ascii="黑体" w:hAnsi="黑体" w:eastAsia="黑体" w:cs="黑体"/>
          <w:b w:val="0"/>
          <w:bCs/>
          <w:sz w:val="32"/>
          <w:szCs w:val="32"/>
        </w:rPr>
        <w:t>、关于政府采购支出说明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645.64</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130.34</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515.3</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645.64</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645.64</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20.19</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79.81</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val="en-US" w:eastAsia="zh-CN"/>
        </w:rPr>
        <w:t>三</w:t>
      </w:r>
      <w:r>
        <w:rPr>
          <w:rFonts w:hint="eastAsia" w:ascii="黑体" w:hAnsi="黑体" w:eastAsia="黑体" w:cs="黑体"/>
          <w:b w:val="0"/>
          <w:bCs/>
          <w:sz w:val="32"/>
          <w:szCs w:val="32"/>
        </w:rPr>
        <w:t>、关于国有资产占用情况说明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val="en-US" w:eastAsia="zh-CN"/>
        </w:rPr>
        <w:t>四</w:t>
      </w:r>
      <w:r>
        <w:rPr>
          <w:rFonts w:hint="eastAsia" w:ascii="黑体" w:hAnsi="黑体" w:eastAsia="黑体" w:cs="黑体"/>
          <w:b w:val="0"/>
          <w:bCs/>
          <w:sz w:val="32"/>
          <w:szCs w:val="32"/>
        </w:rPr>
        <w:t>、关于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32"/>
          <w:szCs w:val="32"/>
        </w:rPr>
      </w:pPr>
      <w:r>
        <w:rPr>
          <w:rFonts w:hint="eastAsia" w:ascii="仿宋" w:hAnsi="仿宋" w:eastAsia="仿宋" w:cs="仿宋"/>
          <w:sz w:val="32"/>
          <w:szCs w:val="32"/>
        </w:rPr>
        <w:t>根据预算绩效管理要求，</w:t>
      </w:r>
      <w:r>
        <w:rPr>
          <w:rFonts w:hint="eastAsia" w:ascii="仿宋" w:hAnsi="仿宋" w:eastAsia="仿宋" w:cs="仿宋"/>
          <w:sz w:val="32"/>
          <w:szCs w:val="32"/>
          <w:lang w:val="en-US" w:eastAsia="zh-CN"/>
        </w:rPr>
        <w:t>我单位</w:t>
      </w:r>
      <w:r>
        <w:rPr>
          <w:rFonts w:hint="eastAsia" w:ascii="仿宋" w:hAnsi="仿宋" w:eastAsia="仿宋" w:cs="仿宋"/>
          <w:sz w:val="32"/>
          <w:szCs w:val="32"/>
        </w:rPr>
        <w:t>组织开展</w:t>
      </w:r>
      <w:r>
        <w:rPr>
          <w:rFonts w:ascii="Times New Roman" w:hAnsi="Times New Roman" w:eastAsia="仿宋_GB2312" w:cs="Times New Roman"/>
          <w:sz w:val="32"/>
          <w:szCs w:val="32"/>
        </w:rPr>
        <w:t>2022年</w:t>
      </w:r>
      <w:r>
        <w:rPr>
          <w:rFonts w:hint="eastAsia" w:ascii="仿宋" w:hAnsi="仿宋" w:eastAsia="仿宋" w:cs="仿宋"/>
          <w:sz w:val="32"/>
          <w:szCs w:val="32"/>
        </w:rPr>
        <w:t>整体支出</w:t>
      </w:r>
      <w:r>
        <w:rPr>
          <w:rFonts w:hint="eastAsia" w:ascii="仿宋" w:hAnsi="仿宋" w:eastAsia="仿宋" w:cs="仿宋"/>
          <w:sz w:val="32"/>
          <w:szCs w:val="32"/>
          <w:lang w:val="en-US" w:eastAsia="zh-CN"/>
        </w:rPr>
        <w:t>和</w:t>
      </w:r>
      <w:r>
        <w:rPr>
          <w:rFonts w:hint="eastAsia" w:ascii="仿宋" w:hAnsi="仿宋" w:eastAsia="仿宋" w:cs="仿宋"/>
          <w:sz w:val="32"/>
          <w:szCs w:val="32"/>
        </w:rPr>
        <w:t>基础教育发展专项资金开展了</w:t>
      </w:r>
      <w:r>
        <w:rPr>
          <w:rFonts w:hint="eastAsia" w:ascii="仿宋" w:hAnsi="仿宋" w:eastAsia="仿宋" w:cs="仿宋"/>
          <w:sz w:val="32"/>
          <w:szCs w:val="32"/>
          <w:lang w:val="en-US" w:eastAsia="zh-CN"/>
        </w:rPr>
        <w:t>绩效</w:t>
      </w:r>
      <w:r>
        <w:rPr>
          <w:rFonts w:hint="eastAsia" w:ascii="仿宋" w:hAnsi="仿宋" w:eastAsia="仿宋" w:cs="仿宋"/>
          <w:sz w:val="32"/>
          <w:szCs w:val="32"/>
        </w:rPr>
        <w:t>评价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从评价结果来看：</w:t>
      </w:r>
      <w:r>
        <w:rPr>
          <w:rFonts w:hint="eastAsia" w:ascii="仿宋" w:hAnsi="仿宋" w:eastAsia="仿宋"/>
          <w:spacing w:val="-2"/>
          <w:sz w:val="32"/>
          <w:szCs w:val="32"/>
        </w:rPr>
        <w:t>通过</w:t>
      </w:r>
      <w:r>
        <w:rPr>
          <w:rFonts w:hint="eastAsia" w:ascii="仿宋" w:hAnsi="仿宋" w:eastAsia="仿宋"/>
          <w:spacing w:val="-2"/>
          <w:sz w:val="32"/>
          <w:szCs w:val="32"/>
          <w:lang w:val="en-US" w:eastAsia="zh-CN"/>
        </w:rPr>
        <w:t>本年度</w:t>
      </w:r>
      <w:r>
        <w:rPr>
          <w:rFonts w:hint="eastAsia" w:ascii="仿宋" w:hAnsi="仿宋" w:eastAsia="仿宋"/>
          <w:spacing w:val="-2"/>
          <w:sz w:val="32"/>
          <w:szCs w:val="32"/>
        </w:rPr>
        <w:t>财政资金的直接引导</w:t>
      </w:r>
      <w:r>
        <w:rPr>
          <w:rFonts w:hint="eastAsia" w:ascii="仿宋" w:hAnsi="仿宋" w:eastAsia="仿宋" w:cs="仿宋"/>
          <w:sz w:val="32"/>
          <w:szCs w:val="32"/>
          <w:lang w:val="en-US" w:eastAsia="zh-CN"/>
        </w:rPr>
        <w:t>，</w:t>
      </w:r>
      <w:r>
        <w:rPr>
          <w:rFonts w:hint="eastAsia" w:ascii="仿宋" w:hAnsi="仿宋" w:eastAsia="仿宋"/>
          <w:spacing w:val="-2"/>
          <w:sz w:val="32"/>
          <w:szCs w:val="32"/>
        </w:rPr>
        <w:t>我市职业教育得到进一步提升，在校学生和部分企业受培人员职业能力得到较大提升</w:t>
      </w:r>
      <w:r>
        <w:rPr>
          <w:rFonts w:hint="eastAsia" w:ascii="仿宋" w:hAnsi="仿宋" w:eastAsia="仿宋"/>
          <w:spacing w:val="-2"/>
          <w:sz w:val="32"/>
          <w:szCs w:val="32"/>
          <w:lang w:eastAsia="zh-CN"/>
        </w:rPr>
        <w:t>，</w:t>
      </w:r>
      <w:r>
        <w:rPr>
          <w:rFonts w:hint="eastAsia" w:ascii="仿宋" w:hAnsi="仿宋" w:eastAsia="仿宋" w:cs="仿宋"/>
          <w:sz w:val="32"/>
          <w:szCs w:val="32"/>
        </w:rPr>
        <w:t>切实完成年度绩效目标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发挥了资金使用效益。</w:t>
      </w:r>
      <w:r>
        <w:rPr>
          <w:rFonts w:hint="eastAsia" w:ascii="仿宋" w:hAnsi="仿宋" w:eastAsia="仿宋" w:cs="仿宋"/>
          <w:color w:val="000000" w:themeColor="text1"/>
          <w:kern w:val="0"/>
          <w:sz w:val="32"/>
          <w:szCs w:val="32"/>
          <w14:textFill>
            <w14:solidFill>
              <w14:schemeClr w14:val="tx1"/>
            </w14:solidFill>
          </w14:textFill>
        </w:rPr>
        <w:t>202</w:t>
      </w:r>
      <w:r>
        <w:rPr>
          <w:rFonts w:hint="eastAsia" w:ascii="仿宋" w:hAnsi="仿宋" w:eastAsia="仿宋" w:cs="仿宋"/>
          <w:color w:val="000000" w:themeColor="text1"/>
          <w:kern w:val="0"/>
          <w:sz w:val="32"/>
          <w:szCs w:val="32"/>
          <w:lang w:val="en-US" w:eastAsia="zh-CN"/>
          <w14:textFill>
            <w14:solidFill>
              <w14:schemeClr w14:val="tx1"/>
            </w14:solidFill>
          </w14:textFill>
        </w:rPr>
        <w:t>2</w:t>
      </w:r>
      <w:r>
        <w:rPr>
          <w:rFonts w:hint="eastAsia" w:ascii="仿宋" w:hAnsi="仿宋" w:eastAsia="仿宋" w:cs="仿宋"/>
          <w:color w:val="000000" w:themeColor="text1"/>
          <w:kern w:val="0"/>
          <w:sz w:val="32"/>
          <w:szCs w:val="32"/>
          <w14:textFill>
            <w14:solidFill>
              <w14:schemeClr w14:val="tx1"/>
            </w14:solidFill>
          </w14:textFill>
        </w:rPr>
        <w:t>年</w:t>
      </w:r>
      <w:r>
        <w:rPr>
          <w:rFonts w:hint="eastAsia" w:ascii="仿宋" w:hAnsi="仿宋" w:eastAsia="仿宋" w:cs="仿宋"/>
          <w:color w:val="000000" w:themeColor="text1"/>
          <w:kern w:val="0"/>
          <w:sz w:val="32"/>
          <w:szCs w:val="32"/>
          <w:lang w:val="en-US" w:eastAsia="zh-CN"/>
          <w14:textFill>
            <w14:solidFill>
              <w14:schemeClr w14:val="tx1"/>
            </w14:solidFill>
          </w14:textFill>
        </w:rPr>
        <w:t>部门</w:t>
      </w:r>
      <w:r>
        <w:rPr>
          <w:rFonts w:hint="eastAsia" w:ascii="仿宋" w:hAnsi="仿宋" w:eastAsia="仿宋" w:cs="仿宋"/>
          <w:color w:val="000000" w:themeColor="text1"/>
          <w:kern w:val="0"/>
          <w:sz w:val="32"/>
          <w:szCs w:val="32"/>
          <w14:textFill>
            <w14:solidFill>
              <w14:schemeClr w14:val="tx1"/>
            </w14:solidFill>
          </w14:textFill>
        </w:rPr>
        <w:t>整体支出绩效评价</w:t>
      </w:r>
      <w:r>
        <w:rPr>
          <w:rFonts w:hint="eastAsia" w:ascii="仿宋" w:hAnsi="仿宋" w:eastAsia="仿宋" w:cs="仿宋"/>
          <w:color w:val="000000" w:themeColor="text1"/>
          <w:kern w:val="0"/>
          <w:sz w:val="32"/>
          <w:szCs w:val="32"/>
          <w:lang w:val="en-US" w:eastAsia="zh-CN"/>
          <w14:textFill>
            <w14:solidFill>
              <w14:schemeClr w14:val="tx1"/>
            </w14:solidFill>
          </w14:textFill>
        </w:rPr>
        <w:t>和专项资金绩效评价报告</w:t>
      </w:r>
      <w:r>
        <w:rPr>
          <w:rFonts w:hint="eastAsia" w:ascii="仿宋" w:hAnsi="仿宋" w:eastAsia="仿宋" w:cs="仿宋"/>
          <w:color w:val="000000" w:themeColor="text1"/>
          <w:kern w:val="0"/>
          <w:sz w:val="32"/>
          <w:szCs w:val="32"/>
          <w14:textFill>
            <w14:solidFill>
              <w14:schemeClr w14:val="tx1"/>
            </w14:solidFill>
          </w14:textFill>
        </w:rPr>
        <w:t>详见附件</w:t>
      </w:r>
      <w:r>
        <w:rPr>
          <w:rFonts w:hint="eastAsia" w:ascii="仿宋" w:hAnsi="仿宋" w:eastAsia="仿宋" w:cs="仿宋"/>
          <w:color w:val="000000" w:themeColor="text1"/>
          <w:kern w:val="0"/>
          <w:sz w:val="32"/>
          <w:szCs w:val="32"/>
          <w:lang w:eastAsia="zh-CN"/>
          <w14:textFill>
            <w14:solidFill>
              <w14:schemeClr w14:val="tx1"/>
            </w14:solidFill>
          </w14:textFill>
        </w:rPr>
        <w:t>。</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widowControl/>
        <w:shd w:val="clear" w:color="auto" w:fill="FFFFFF"/>
        <w:spacing w:line="600" w:lineRule="atLeas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、预算控制率有待降低 </w:t>
      </w:r>
    </w:p>
    <w:p>
      <w:pPr>
        <w:widowControl/>
        <w:shd w:val="clear" w:color="auto" w:fill="FFFFFF"/>
        <w:spacing w:line="600" w:lineRule="atLeast"/>
        <w:ind w:firstLine="64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受中方新校区土建、宿舍楼、食堂、图书馆、体育馆、教学楼、办公楼</w:t>
      </w:r>
      <w:r>
        <w:rPr>
          <w:rFonts w:hint="eastAsia" w:ascii="Times New Roman" w:hAnsi="Times New Roman" w:eastAsia="仿宋_GB2312" w:cs="Times New Roman"/>
          <w:sz w:val="32"/>
          <w:szCs w:val="32"/>
          <w:lang w:val="en-US" w:eastAsia="zh-CN"/>
        </w:rPr>
        <w:t>项目实施进度</w:t>
      </w:r>
      <w:r>
        <w:rPr>
          <w:rFonts w:hint="default" w:ascii="Times New Roman" w:hAnsi="Times New Roman" w:eastAsia="仿宋_GB2312" w:cs="Times New Roman"/>
          <w:sz w:val="32"/>
          <w:szCs w:val="32"/>
        </w:rPr>
        <w:t>影响，预算控制率</w:t>
      </w:r>
      <w:r>
        <w:rPr>
          <w:rFonts w:hint="eastAsia" w:ascii="Times New Roman" w:hAnsi="Times New Roman" w:eastAsia="仿宋_GB2312" w:cs="Times New Roman"/>
          <w:sz w:val="32"/>
          <w:szCs w:val="32"/>
          <w:lang w:val="en-US" w:eastAsia="zh-CN"/>
        </w:rPr>
        <w:t>未达预期目标。</w:t>
      </w:r>
    </w:p>
    <w:p>
      <w:pPr>
        <w:widowControl/>
        <w:shd w:val="clear" w:color="auto" w:fill="FFFFFF"/>
        <w:spacing w:line="600" w:lineRule="atLeas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、绩效管理跟踪不到位</w:t>
      </w:r>
    </w:p>
    <w:p>
      <w:pPr>
        <w:widowControl/>
        <w:shd w:val="clear" w:color="auto" w:fill="FFFFFF"/>
        <w:spacing w:line="600" w:lineRule="atLeas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绩效管理理念不足，宣导力度不够，各科室使用资金时对绩效目标概念认识不足，导致专项资金项目预算实施有偏差。</w:t>
      </w:r>
    </w:p>
    <w:p>
      <w:pPr>
        <w:widowControl/>
        <w:shd w:val="clear" w:color="auto" w:fill="FFFFFF"/>
        <w:spacing w:line="600" w:lineRule="atLeas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3、政府采购预算管理不到位</w:t>
      </w:r>
    </w:p>
    <w:p>
      <w:pPr>
        <w:widowControl/>
        <w:shd w:val="clear" w:color="auto" w:fill="FFFFFF"/>
        <w:spacing w:line="600" w:lineRule="atLeas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受中方新校区土建、宿舍楼、食堂、图书馆、体育馆、教学楼、办公楼项目的影响，中方新校区</w:t>
      </w:r>
      <w:r>
        <w:rPr>
          <w:rFonts w:hint="eastAsia" w:ascii="Times New Roman" w:hAnsi="Times New Roman" w:eastAsia="仿宋_GB2312" w:cs="Times New Roman"/>
          <w:sz w:val="32"/>
          <w:szCs w:val="32"/>
          <w:lang w:val="en-US" w:eastAsia="zh-CN"/>
        </w:rPr>
        <w:t>政府采购影响</w:t>
      </w:r>
      <w:r>
        <w:rPr>
          <w:rFonts w:hint="default" w:ascii="Times New Roman" w:hAnsi="Times New Roman" w:eastAsia="仿宋_GB2312" w:cs="Times New Roman"/>
          <w:sz w:val="32"/>
          <w:szCs w:val="32"/>
        </w:rPr>
        <w:t>政府采购预算</w:t>
      </w:r>
      <w:r>
        <w:rPr>
          <w:rFonts w:hint="eastAsia" w:ascii="Times New Roman" w:hAnsi="Times New Roman" w:eastAsia="仿宋_GB2312" w:cs="Times New Roman"/>
          <w:sz w:val="32"/>
          <w:szCs w:val="32"/>
          <w:lang w:val="en-US" w:eastAsia="zh-CN"/>
        </w:rPr>
        <w:t>执行</w:t>
      </w:r>
      <w:r>
        <w:rPr>
          <w:rFonts w:hint="default" w:ascii="Times New Roman" w:hAnsi="Times New Roman" w:eastAsia="仿宋_GB2312" w:cs="Times New Roman"/>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p>
    <w:p>
      <w:pPr>
        <w:pStyle w:val="9"/>
        <w:jc w:val="both"/>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sz w:val="72"/>
          <w:szCs w:val="72"/>
        </w:rPr>
      </w:pPr>
    </w:p>
    <w:p>
      <w:pPr>
        <w:pStyle w:val="9"/>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16D6AA"/>
    <w:multiLevelType w:val="singleLevel"/>
    <w:tmpl w:val="E516D6AA"/>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OTQyODljODRiZmMzMmVlYTZkNWIyZDYyOTZkNzM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6B01930"/>
    <w:rsid w:val="072B545A"/>
    <w:rsid w:val="0B1A1A6E"/>
    <w:rsid w:val="0C61547A"/>
    <w:rsid w:val="0FF8789C"/>
    <w:rsid w:val="19F66CBF"/>
    <w:rsid w:val="1D23372A"/>
    <w:rsid w:val="207D68CF"/>
    <w:rsid w:val="29E36A2C"/>
    <w:rsid w:val="2B9D6077"/>
    <w:rsid w:val="2E7035CF"/>
    <w:rsid w:val="313212AA"/>
    <w:rsid w:val="357F234A"/>
    <w:rsid w:val="367A1943"/>
    <w:rsid w:val="42853C73"/>
    <w:rsid w:val="436937A4"/>
    <w:rsid w:val="46DC183D"/>
    <w:rsid w:val="4CC528E0"/>
    <w:rsid w:val="4EB832AC"/>
    <w:rsid w:val="50DF1468"/>
    <w:rsid w:val="5777D4F5"/>
    <w:rsid w:val="5A4214CD"/>
    <w:rsid w:val="5ED1349B"/>
    <w:rsid w:val="5FC6BB1E"/>
    <w:rsid w:val="5FF720F1"/>
    <w:rsid w:val="6189617B"/>
    <w:rsid w:val="6DCA3DA3"/>
    <w:rsid w:val="6F721104"/>
    <w:rsid w:val="737D59BA"/>
    <w:rsid w:val="77C37683"/>
    <w:rsid w:val="79FF515B"/>
    <w:rsid w:val="7C011641"/>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 w:type="character" w:customStyle="1" w:styleId="12">
    <w:name w:val="font0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eastAsia" w:ascii="宋体" w:hAnsi="宋体" w:eastAsia="宋体" w:cs="宋体"/>
      <w:color w:val="000000"/>
      <w:sz w:val="24"/>
      <w:szCs w:val="24"/>
      <w:u w:val="none"/>
    </w:rPr>
  </w:style>
  <w:style w:type="character" w:customStyle="1" w:styleId="14">
    <w:name w:val="font1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4</TotalTime>
  <ScaleCrop>false</ScaleCrop>
  <LinksUpToDate>false</LinksUpToDate>
  <CharactersWithSpaces>9008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珊珊</cp:lastModifiedBy>
  <cp:lastPrinted>2023-08-15T09:28:00Z</cp:lastPrinted>
  <dcterms:modified xsi:type="dcterms:W3CDTF">2023-09-26T02:59:48Z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5277FE7BB7BF466EBA4D97768455B331_12</vt:lpwstr>
  </property>
</Properties>
</file>