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pPr>
    </w:p>
    <w:p>
      <w:pPr>
        <w:spacing w:line="220" w:lineRule="atLeast"/>
      </w:pPr>
    </w:p>
    <w:p>
      <w:pPr>
        <w:widowControl/>
        <w:spacing w:line="600" w:lineRule="exact"/>
        <w:ind w:firstLine="560" w:firstLineChars="200"/>
        <w:rPr>
          <w:rFonts w:hint="eastAsia" w:eastAsia="仿宋"/>
          <w:sz w:val="28"/>
          <w:szCs w:val="28"/>
          <w:lang w:val="en-US" w:eastAsia="zh-CN"/>
        </w:rPr>
      </w:pPr>
      <w:r>
        <w:rPr>
          <w:rFonts w:hint="eastAsia" w:eastAsia="仿宋"/>
          <w:sz w:val="28"/>
          <w:szCs w:val="28"/>
          <w:lang w:val="en-US" w:eastAsia="zh-CN"/>
        </w:rPr>
        <w:t xml:space="preserve">附件5    </w:t>
      </w:r>
    </w:p>
    <w:p>
      <w:pPr>
        <w:widowControl/>
        <w:spacing w:line="600" w:lineRule="exact"/>
        <w:ind w:firstLine="723" w:firstLineChars="200"/>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湖南省怀化工业中等专业学校</w:t>
      </w:r>
    </w:p>
    <w:p>
      <w:pPr>
        <w:widowControl/>
        <w:spacing w:line="600" w:lineRule="exact"/>
        <w:ind w:firstLine="723" w:firstLineChars="200"/>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2020年整体支出绩效评价报告</w:t>
      </w:r>
    </w:p>
    <w:p>
      <w:pPr>
        <w:widowControl/>
        <w:spacing w:line="600" w:lineRule="exact"/>
        <w:ind w:firstLine="643" w:firstLineChars="200"/>
        <w:rPr>
          <w:rFonts w:hint="eastAsia" w:ascii="楷体" w:hAnsi="楷体" w:eastAsia="楷体" w:cs="楷体"/>
          <w:b/>
          <w:bCs/>
          <w:sz w:val="36"/>
          <w:szCs w:val="36"/>
          <w:lang w:val="en-US" w:eastAsia="zh-CN"/>
        </w:rPr>
      </w:pPr>
      <w:r>
        <w:rPr>
          <w:rFonts w:hint="eastAsia" w:ascii="黑体" w:hAnsi="黑体" w:eastAsia="黑体" w:cs="黑体"/>
          <w:b/>
          <w:bCs/>
          <w:sz w:val="32"/>
          <w:szCs w:val="32"/>
          <w:lang w:val="en-US" w:eastAsia="zh-CN"/>
        </w:rPr>
        <w:t>一、部门概况</w:t>
      </w:r>
    </w:p>
    <w:p>
      <w:pPr>
        <w:widowControl/>
        <w:spacing w:line="60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（一）部门基本情况</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机构设置</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湖南省怀化工业中等专业学校（湖南省怀化工业高级技工学校）是一所公办全日制普通中等职业学校，是国家改革发展示范学校、国家级重点中等职业学校、国家级重点技工学校，湖南省卓越中等职业学校立项建设单位、省职业教育先进单位</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现内设科室有：</w:t>
      </w:r>
      <w:r>
        <w:rPr>
          <w:rFonts w:hint="eastAsia" w:asciiTheme="minorEastAsia" w:hAnsiTheme="minorEastAsia" w:eastAsiaTheme="minorEastAsia" w:cstheme="minorEastAsia"/>
          <w:sz w:val="32"/>
          <w:szCs w:val="32"/>
          <w:lang w:val="en-US" w:eastAsia="zh-CN"/>
        </w:rPr>
        <w:t>办公室、监察审计室、教务科、学生科、总务科、财务科、实习培训科、保卫科、团委、党办人事科、信息与经济管理系、机电与汽车工程系。</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在职人员情况：根据《怀化市机构编制委员会办公室关于怀化职业技术学院等大中专学校重新核定编制的批复》，本单位共有194名编制，截至2020年末全校在编人员为147人，在职人员控制率为75.77%，未超过编制，控制较好。</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主要职能：1、全面贯彻教育方针，坚持社会主义办学方向，不断提高教育质量；2、领导德育工作、教学工作和行政工作，开展教育教学研究和学校的改革工作，创文明学校工作。3、掌管好学校的校产，包括校舍、设备、经费不断改善办学条件。</w:t>
      </w:r>
    </w:p>
    <w:p>
      <w:pPr>
        <w:keepNext w:val="0"/>
        <w:keepLines w:val="0"/>
        <w:pageBreakBefore w:val="0"/>
        <w:kinsoku/>
        <w:wordWrap/>
        <w:overflowPunct/>
        <w:topLinePunct w:val="0"/>
        <w:autoSpaceDE/>
        <w:autoSpaceDN/>
        <w:bidi w:val="0"/>
        <w:adjustRightInd/>
        <w:snapToGrid/>
        <w:spacing w:line="520" w:lineRule="exact"/>
        <w:ind w:right="0" w:rightChars="0" w:firstLine="640" w:firstLineChars="200"/>
        <w:textAlignment w:val="auto"/>
        <w:outlineLvl w:val="9"/>
        <w:rPr>
          <w:rFonts w:hint="eastAsia" w:asciiTheme="minorEastAsia" w:hAnsiTheme="minorEastAsia" w:eastAsiaTheme="minorEastAsia" w:cstheme="minorEastAsia"/>
          <w:sz w:val="32"/>
          <w:szCs w:val="32"/>
          <w:highlight w:val="none"/>
          <w:lang w:val="en-US" w:eastAsia="zh-CN"/>
        </w:rPr>
      </w:pPr>
      <w:r>
        <w:rPr>
          <w:rFonts w:hint="eastAsia" w:asciiTheme="minorEastAsia" w:hAnsiTheme="minorEastAsia" w:eastAsiaTheme="minorEastAsia" w:cstheme="minorEastAsia"/>
          <w:sz w:val="32"/>
          <w:szCs w:val="32"/>
          <w:lang w:val="en-US" w:eastAsia="zh-CN"/>
        </w:rPr>
        <w:t>4、重点工作计划：</w:t>
      </w:r>
      <w:r>
        <w:rPr>
          <w:rFonts w:hint="eastAsia" w:asciiTheme="minorEastAsia" w:hAnsiTheme="minorEastAsia" w:eastAsiaTheme="minorEastAsia" w:cstheme="minorEastAsia"/>
          <w:b/>
          <w:bCs/>
          <w:sz w:val="32"/>
          <w:szCs w:val="32"/>
          <w:highlight w:val="none"/>
          <w:lang w:val="en-US" w:eastAsia="zh-CN"/>
        </w:rPr>
        <w:t>（</w:t>
      </w:r>
      <w:r>
        <w:rPr>
          <w:rFonts w:hint="eastAsia" w:asciiTheme="minorEastAsia" w:hAnsiTheme="minorEastAsia" w:eastAsiaTheme="minorEastAsia" w:cstheme="minorEastAsia"/>
          <w:sz w:val="32"/>
          <w:szCs w:val="32"/>
          <w:highlight w:val="none"/>
          <w:lang w:val="en-US" w:eastAsia="zh-CN"/>
        </w:rPr>
        <w:t>1）加强政治学习，提高政治占位。①强化班子成员责任意识，明确分工，建立和完善党委领导下的校长负责制的各项制度建设；②加强教职员工的政治学习。</w:t>
      </w:r>
    </w:p>
    <w:p>
      <w:pPr>
        <w:keepNext w:val="0"/>
        <w:keepLines w:val="0"/>
        <w:pageBreakBefore w:val="0"/>
        <w:kinsoku/>
        <w:wordWrap/>
        <w:overflowPunct/>
        <w:topLinePunct w:val="0"/>
        <w:autoSpaceDE/>
        <w:autoSpaceDN/>
        <w:bidi w:val="0"/>
        <w:adjustRightInd/>
        <w:snapToGrid/>
        <w:spacing w:line="520" w:lineRule="exact"/>
        <w:ind w:right="0" w:rightChars="0" w:firstLine="640" w:firstLineChars="200"/>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全面加强党的建设，积极推进作风建设。①扎实做好巡察整改工作，以巡察反馈的整改问题为导向，完善学校各项制度，提高学校治理能力与水平。②巩固拓展落实中央八项规定精神及其实施细则成果，严格遵守“六大纪律”，加强纪律监督和教育，持之以恒正风肃纪。③加强基层党组织建设，认真组织开展“三会一课”和“主题党日”活动，对标“五化”建设标准，加强党员学习教育，发挥好支部的战斗堡垒作用和党员的先锋模范作用。④加强意识形态工作，推进师德师风教育。</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（3）认真做好普法依法治校、综治、安全生产工作。①建设法治校园，加强依法治校、依法行政能力。②强化校园治安综合治理及安全工作责任制, 集中精力做好综治维稳和安全生产工作。</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（4）积极开展技师学院筹建工作。</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5）有效推动教学质量诊改工作，提高教育教学质量，助推项目建设成效。①以湖南省中等职业学校教学质量诊断与改进复工作指引为依据，完善学校《教学质量诊断与改进工作实施方案》，完善“十三五学校发展规划”，制定“十四五学校发展规划”，形成标准链和目标链，全面推动诊改工作。②部门整体支出规模、使用方向和主要内容。③积极开展项目建设及申报工作。④加强实训实习室建设。⑤规范教学过程与环节管理，强化教育教学效果。⑥加强技能竞赛培训组织和准备，力争继续在国家、省市级各类比赛中取得突破性成绩，发挥区域职业教育的示范引领作用。⑦规范组织开展第二课堂，营造丰富的校园文化生活，通过“第二课堂”提升学生综合素质。</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（二）部门整体支出规模</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年度总收入4205.51万元，其中公共预算财政拨款收入3550.31万元，事业收入520.91万元；部门整体支出规模为3846.58万元，其中基本支出2911.48万元。支出主要内容为：工资福利支出2474.27万元；商品和服务支出为638.38万元；对个人和家庭的补助118.44万元；其他资本性支出310.93万元；其他支出0万元。年终结转结余1022.83万元。</w:t>
      </w:r>
    </w:p>
    <w:p>
      <w:pPr>
        <w:widowControl/>
        <w:spacing w:line="600" w:lineRule="exact"/>
        <w:ind w:firstLine="643" w:firstLineChars="200"/>
        <w:rPr>
          <w:rFonts w:hint="eastAsia" w:ascii="楷体" w:hAnsi="楷体" w:eastAsia="楷体" w:cs="楷体"/>
          <w:b/>
          <w:bCs/>
          <w:sz w:val="36"/>
          <w:szCs w:val="36"/>
          <w:lang w:val="en-US" w:eastAsia="zh-CN"/>
        </w:rPr>
      </w:pPr>
      <w:r>
        <w:rPr>
          <w:rFonts w:hint="eastAsia" w:ascii="黑体" w:hAnsi="黑体" w:eastAsia="黑体" w:cs="黑体"/>
          <w:b/>
          <w:bCs/>
          <w:sz w:val="32"/>
          <w:szCs w:val="32"/>
          <w:lang w:val="en-US" w:eastAsia="zh-CN"/>
        </w:rPr>
        <w:t>二、部门整体支出管理及使用情况</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（一）基本支出</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2020年基本支出共3846.58万元。</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工资福利支出2474.27万元。主要包括在职人员工资、津贴补贴、政策规定奖金、基本养老保险、基本医疗保险、生育基金、工伤保险、养老保险等支出，同比上年2310.45万元增长7.09%，增加原因是人员增加，导致人员经费增加。</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一般商品和服务支出为638.38万元。包括日常运行正常办公经费、咨询费、水费、邮电费、差旅费、维护费、培训费、“三公经费”、其他交通费、职工福利费及其他商品服务支出等，同比上年689.23万元降低6.65%，降低原因是福利费、培训费和三公经费开支减少。</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我校为财政经费包干预算事业单位，“三公经费”由学校自筹资金开支。2020年“三公经费”共开支1.46万元，较2019年增加了1.46万元，无任何出国出境考察开支。</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会议费、培训费。会议费开支0.035万元，较去年增加了0.035万元；培训费12.6万元，较2019年支出4.68万元增加了169.23%，增加原因一方面是增加了湖南省中等职业学校教学改进专题研修班培训，另一方面是冲减怀化市燕兴安全技术培训费。</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3、对个人和家庭补助支出118.44万元。</w:t>
      </w:r>
    </w:p>
    <w:p>
      <w:pPr>
        <w:widowControl/>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主要包括退休人员春节一次性生活补助费等支出，同比上年减少25.27%。</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（二）专项支出</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1、专项资金安排落实、总投入等情况分析</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为加快我校成为区域内起示范作用的公办中职学校，进一步提升办学水平，市财政、市教育局结合本地区中职教育布局调整和事业的发展需要，编制改善中职办学条件项目建设规划和年度项目实施计划，2020年度共向我校拨付100万卓越校专项资金和改善办学条件专项资金466万元用于我校建设。</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我校2019年底结转的卓越校专项资金100万和2019年改善办学校条件的结余资金44.52万元继续用于2020年专项资金安排。</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2、专项资金实际使用情况分析</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（1）改善办学条件资金</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截至2020年12月31日，2019年结余的44.52万元的改善办学条件资金已全部使用完，主要用于新校区项目建设；2020年改善办学条件资金466万共使用413.72万元，主要投入项目有新校区建设284.35万元，维修与质保金71.05万元，其他零星支出58.32万元。</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（2）卓越校专项资金</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截止2020年12月31日，结转的2019年卓越校专项资金100万共使用98.46万元；2020年卓越校资金100万由于是2020年10月21日到账，所以尚未使用。</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3、专项资金管理情况分析</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为加强专项项目管理，提高专项资金的使用效率，本单位根据怀化市市本级专项资金管理办法就重点专项项目制定了《财务管理制度》、《专项资金管理办法》。</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专项资金管理坚持公开透明，规范合理的原则，实行统一协调，明确责任、各司其责、权责统一的管理方式。</w:t>
      </w:r>
    </w:p>
    <w:p>
      <w:pPr>
        <w:widowControl/>
        <w:spacing w:line="600" w:lineRule="exact"/>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三、部门专项组织实施情况</w:t>
      </w:r>
    </w:p>
    <w:p>
      <w:pPr>
        <w:widowControl/>
        <w:spacing w:line="600" w:lineRule="exact"/>
        <w:ind w:firstLine="640" w:firstLineChars="200"/>
        <w:rPr>
          <w:rFonts w:hint="eastAsia" w:eastAsia="仿宋"/>
          <w:sz w:val="28"/>
          <w:szCs w:val="28"/>
          <w:lang w:val="en-US" w:eastAsia="zh-CN"/>
        </w:rPr>
      </w:pPr>
      <w:r>
        <w:rPr>
          <w:rFonts w:hint="eastAsia" w:asciiTheme="minorEastAsia" w:hAnsiTheme="minorEastAsia" w:eastAsiaTheme="minorEastAsia" w:cstheme="minorEastAsia"/>
          <w:sz w:val="32"/>
          <w:szCs w:val="32"/>
          <w:lang w:val="en-US" w:eastAsia="zh-CN"/>
        </w:rPr>
        <w:t>（一）专项组织情况分析，主要包括项目招投标、调整、竣工验收等情况。</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我校设置总务科对项目招投标进行统一管理，同时建立专项资金合同管理台账，对项目工程合同进行统一监管。项目竣工验收由总务科牵头协同财务科、监察室进行项目验收并出具验收报告。</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（二）专项管理情况分析，主要包括项目管理制度建设、日常检查监督管理等情况。</w:t>
      </w:r>
    </w:p>
    <w:p>
      <w:pPr>
        <w:widowControl/>
        <w:spacing w:line="600" w:lineRule="exact"/>
        <w:ind w:firstLine="640" w:firstLineChars="200"/>
        <w:rPr>
          <w:rFonts w:hint="eastAsia" w:asciiTheme="minorEastAsia" w:hAnsiTheme="minorEastAsia" w:eastAsiaTheme="minorEastAsia" w:cstheme="minorEastAsia"/>
          <w:sz w:val="32"/>
          <w:szCs w:val="32"/>
          <w:highlight w:val="yellow"/>
          <w:lang w:val="en-US" w:eastAsia="zh-CN"/>
        </w:rPr>
      </w:pPr>
      <w:r>
        <w:rPr>
          <w:rFonts w:hint="eastAsia" w:asciiTheme="minorEastAsia" w:hAnsiTheme="minorEastAsia" w:eastAsiaTheme="minorEastAsia" w:cstheme="minorEastAsia"/>
          <w:sz w:val="32"/>
          <w:szCs w:val="32"/>
          <w:lang w:val="en-US" w:eastAsia="zh-CN"/>
        </w:rPr>
        <w:t>我校根据内部控制规范，制定了财务管理制度</w:t>
      </w:r>
      <w:r>
        <w:rPr>
          <w:rFonts w:hint="eastAsia" w:asciiTheme="minorEastAsia" w:hAnsiTheme="minorEastAsia" w:eastAsiaTheme="minorEastAsia" w:cstheme="minorEastAsia"/>
          <w:sz w:val="32"/>
          <w:szCs w:val="32"/>
          <w:highlight w:val="none"/>
          <w:lang w:val="en-US" w:eastAsia="zh-CN"/>
        </w:rPr>
        <w:t>，并就专项资金制定了专项资金管理制度，专项资金的分配、使用、管理有严格制度与手续，确保资金使用公开、公正、科学、高效，专款专用、不被挤占、挪用、借用或随意调整。</w:t>
      </w:r>
    </w:p>
    <w:p>
      <w:pPr>
        <w:widowControl/>
        <w:spacing w:line="600" w:lineRule="exact"/>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四、资产管理情况</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本单位相关科室负责资产的购置、验收入库、维护保管等日常管理，账卡管理、清查登记、统计报告、日常监督检查等工作，严格按照相关部门文件要求保障资产的安全完整；建立固定资产台账，定期清查盘点，做到账、卡、物相符，防止资产流失。接受财政部门的监督、指导，按照规定定期报告本单位资产管理工作。</w:t>
      </w:r>
    </w:p>
    <w:p>
      <w:pPr>
        <w:widowControl/>
        <w:spacing w:line="600" w:lineRule="exact"/>
        <w:ind w:firstLine="643" w:firstLineChars="200"/>
        <w:rPr>
          <w:rFonts w:hint="eastAsia" w:ascii="楷体" w:hAnsi="楷体" w:eastAsia="楷体" w:cs="楷体"/>
          <w:b/>
          <w:bCs/>
          <w:sz w:val="32"/>
          <w:szCs w:val="32"/>
          <w:lang w:val="en-US" w:eastAsia="zh-CN"/>
        </w:rPr>
      </w:pPr>
      <w:r>
        <w:rPr>
          <w:rFonts w:hint="eastAsia" w:ascii="黑体" w:hAnsi="黑体" w:eastAsia="黑体" w:cs="黑体"/>
          <w:b/>
          <w:bCs/>
          <w:sz w:val="32"/>
          <w:szCs w:val="32"/>
          <w:lang w:val="en-US" w:eastAsia="zh-CN"/>
        </w:rPr>
        <w:t>五、部门整体支出绩效情况</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根据市财政局《关于开展2020年度市级财政资金绩效自评工作的通知》（怀财绩[2021]60号）精神，我校对照部门整体支出绩效评价指标，经全面综合评价，2020年度我校部门整体支出绩效自评得分72分。具体情况如下：</w:t>
      </w:r>
    </w:p>
    <w:p>
      <w:pPr>
        <w:widowControl/>
        <w:spacing w:line="600" w:lineRule="exact"/>
        <w:ind w:firstLine="640" w:firstLineChars="200"/>
        <w:rPr>
          <w:rFonts w:hint="eastAsia" w:eastAsia="仿宋"/>
          <w:sz w:val="28"/>
          <w:szCs w:val="28"/>
          <w:lang w:val="en-US" w:eastAsia="zh-CN"/>
        </w:rPr>
      </w:pPr>
      <w:r>
        <w:rPr>
          <w:rFonts w:hint="eastAsia" w:asciiTheme="minorEastAsia" w:hAnsiTheme="minorEastAsia" w:eastAsiaTheme="minorEastAsia" w:cstheme="minorEastAsia"/>
          <w:sz w:val="32"/>
          <w:szCs w:val="32"/>
          <w:lang w:val="en-US" w:eastAsia="zh-CN"/>
        </w:rPr>
        <w:t>（一）经济性分析</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2020年年初预算1146.38万元，年中追加预算4069.08万元，因为我们是经费包干单位，财政批复的2020年预算不能满足单位实际需要的开支，故追加预算较多。</w:t>
      </w:r>
    </w:p>
    <w:p>
      <w:pPr>
        <w:widowControl/>
        <w:spacing w:line="600" w:lineRule="exact"/>
        <w:ind w:firstLine="640" w:firstLineChars="200"/>
        <w:rPr>
          <w:rFonts w:hint="eastAsia" w:eastAsia="仿宋"/>
          <w:sz w:val="28"/>
          <w:szCs w:val="28"/>
          <w:lang w:val="en-US" w:eastAsia="zh-CN"/>
        </w:rPr>
      </w:pPr>
      <w:r>
        <w:rPr>
          <w:rFonts w:hint="eastAsia" w:asciiTheme="minorEastAsia" w:hAnsiTheme="minorEastAsia" w:eastAsiaTheme="minorEastAsia" w:cstheme="minorEastAsia"/>
          <w:sz w:val="32"/>
          <w:szCs w:val="32"/>
          <w:lang w:val="en-US" w:eastAsia="zh-CN"/>
        </w:rPr>
        <w:t>（二）有效性分析</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1、预算完成率。2020年上年结转821.14万元，年初预算1146.38万元，调整预算4069.08万元，年末结转1022.83万元，预算完成率83.06%。</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2、预算控制率。年中追加预算4069.08万元，预算控制率为354.95%，预算控制未达到预期目标。</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3、新建楼堂馆所面积和投资概算控制率。无新建楼堂管所情况。</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4、公用经费控制率。2020年我校预算管理各项指标控制较好，实际支出公用经费总额638.38万元，预算安排公用经费总额638.38万元，公用经费控制率100%。</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5、“三公经费”控制率。“三公经费”实际支出数为1.46万元，预算安排0万元，“三公经费”控制有待加强。</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6、政府采购执行率。政府采购预算478元，实际政府采购金额203.93万元，预算执行率43.92%。</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7、管理制度健全性。严格落实有关管理制度，规范财务审批程序，推行公务卡结算，严格差旅费和接待费支出标准、范围和程序的审核，购买中介机构服务的支出按统一的标准和审批程序执行。</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8、 资金使用合规性。严格落实中央八项规定和有关公务支出标准。加强经费合法合规性审核和预算控制，严格按制度政策办事，资金使用合法合规，支出手续齐全，程序到位。</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9、预决算信息公开性。真实准确编制部门预算和决算，按时上报基础数据资料。对上年度部门整体支出进行了绩效评价，对标找差距。按规定时限和规定内容公开部门预算、部门决算以及绩效自评报告。各项应向社会公开的信息及时、完整、真实，更加细化，部门预决算信息透明度进一步提高。 </w:t>
      </w:r>
    </w:p>
    <w:p>
      <w:pPr>
        <w:widowControl/>
        <w:spacing w:line="600" w:lineRule="exact"/>
        <w:ind w:firstLine="643" w:firstLineChars="200"/>
        <w:rPr>
          <w:rFonts w:hint="eastAsia" w:ascii="黑体" w:hAnsi="黑体" w:eastAsia="黑体" w:cs="黑体"/>
          <w:b/>
          <w:bCs/>
          <w:sz w:val="32"/>
          <w:szCs w:val="32"/>
          <w:lang w:val="en-US" w:eastAsia="zh-CN"/>
        </w:rPr>
      </w:pPr>
    </w:p>
    <w:p>
      <w:pPr>
        <w:widowControl/>
        <w:spacing w:line="600" w:lineRule="exact"/>
        <w:ind w:firstLine="643" w:firstLineChars="200"/>
        <w:rPr>
          <w:rFonts w:hint="eastAsia" w:ascii="黑体" w:hAnsi="黑体" w:eastAsia="黑体" w:cs="黑体"/>
          <w:b/>
          <w:bCs/>
          <w:sz w:val="32"/>
          <w:szCs w:val="32"/>
          <w:lang w:val="en-US" w:eastAsia="zh-CN"/>
        </w:rPr>
      </w:pPr>
    </w:p>
    <w:p>
      <w:pPr>
        <w:widowControl/>
        <w:spacing w:line="600" w:lineRule="exact"/>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六、存在的主要问题</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主要是在部门整体支出的资金安排和使用上仍有不可预见性，在科学设置预算绩效指标上还需进一步加强，使之更加贴合职业学校的实际。比如说在预算执行中，有时难免会因为国家宏观政策调整，原预算资金不足等问题，因预算调整不及时，资金到位相对滞后。</w:t>
      </w:r>
    </w:p>
    <w:p>
      <w:pPr>
        <w:widowControl/>
        <w:spacing w:line="600" w:lineRule="exact"/>
        <w:ind w:firstLine="643" w:firstLineChars="200"/>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七、改进措施和有关建议</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1、部门整体绩效评价工作是一项长期性的工作，专业性强，工作量大，建议财政有关部门进一步加强开展相关的业务工作培训，组织开展部门之间、单位之间的经验交流，切实推进绩效评价工作的开展。</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2、在部门整体支出中，对于偶然出现的突发状况，可以调整工作顺序，优先安排部分急需资金。</w:t>
      </w:r>
    </w:p>
    <w:p>
      <w:pPr>
        <w:widowControl/>
        <w:spacing w:line="60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3、在统筹安排以后年度预算时，应尽量充分考虑职业学校的实际需要，根据各项支出情况，合理安排好部门的资金计划和用途，尽可能给予学生多的政策优惠。</w:t>
      </w:r>
    </w:p>
    <w:p>
      <w:pPr>
        <w:spacing w:line="220" w:lineRule="atLeast"/>
        <w:jc w:val="both"/>
      </w:pPr>
      <w:bookmarkStart w:id="0" w:name="_GoBack"/>
      <w:bookmarkEnd w:id="0"/>
    </w:p>
    <w:p>
      <w:pPr>
        <w:spacing w:line="220" w:lineRule="atLeast"/>
        <w:jc w:val="center"/>
      </w:pPr>
    </w:p>
    <w:p>
      <w:pPr>
        <w:spacing w:line="220" w:lineRule="atLeast"/>
        <w:jc w:val="both"/>
        <w:rPr>
          <w:rFonts w:hint="eastAsia"/>
        </w:rPr>
      </w:pPr>
    </w:p>
    <w:p>
      <w:pPr>
        <w:spacing w:line="220" w:lineRule="atLeast"/>
        <w:jc w:val="cente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C43D0"/>
    <w:rsid w:val="000D5763"/>
    <w:rsid w:val="00323B43"/>
    <w:rsid w:val="003D37D8"/>
    <w:rsid w:val="00426133"/>
    <w:rsid w:val="004358AB"/>
    <w:rsid w:val="00445FAD"/>
    <w:rsid w:val="0056311A"/>
    <w:rsid w:val="005B7EBA"/>
    <w:rsid w:val="005E6A08"/>
    <w:rsid w:val="006460F6"/>
    <w:rsid w:val="006E5D12"/>
    <w:rsid w:val="007B634F"/>
    <w:rsid w:val="008B7726"/>
    <w:rsid w:val="00B7729B"/>
    <w:rsid w:val="00D31D50"/>
    <w:rsid w:val="08EA5E69"/>
    <w:rsid w:val="221E5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pPr>
      <w:spacing w:after="0"/>
    </w:pPr>
    <w:rPr>
      <w:sz w:val="18"/>
      <w:szCs w:val="18"/>
    </w:rPr>
  </w:style>
  <w:style w:type="paragraph" w:styleId="3">
    <w:name w:val="footer"/>
    <w:basedOn w:val="1"/>
    <w:link w:val="8"/>
    <w:semiHidden/>
    <w:unhideWhenUsed/>
    <w:uiPriority w:val="99"/>
    <w:pPr>
      <w:tabs>
        <w:tab w:val="center" w:pos="4153"/>
        <w:tab w:val="right" w:pos="8306"/>
      </w:tabs>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uiPriority w:val="99"/>
    <w:rPr>
      <w:rFonts w:ascii="Tahoma" w:hAnsi="Tahoma"/>
      <w:sz w:val="18"/>
      <w:szCs w:val="18"/>
    </w:rPr>
  </w:style>
  <w:style w:type="character" w:customStyle="1" w:styleId="8">
    <w:name w:val="页脚 Char"/>
    <w:basedOn w:val="6"/>
    <w:link w:val="3"/>
    <w:semiHidden/>
    <w:uiPriority w:val="99"/>
    <w:rPr>
      <w:rFonts w:ascii="Tahoma" w:hAnsi="Tahoma"/>
      <w:sz w:val="18"/>
      <w:szCs w:val="18"/>
    </w:rPr>
  </w:style>
  <w:style w:type="character" w:customStyle="1" w:styleId="9">
    <w:name w:val="批注框文本 Char"/>
    <w:basedOn w:val="6"/>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Words>
  <Characters>12</Characters>
  <Lines>1</Lines>
  <Paragraphs>1</Paragraphs>
  <TotalTime>1</TotalTime>
  <ScaleCrop>false</ScaleCrop>
  <LinksUpToDate>false</LinksUpToDate>
  <CharactersWithSpaces>13</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2020-09-09T07:33:00Z</cp:lastPrinted>
  <dcterms:modified xsi:type="dcterms:W3CDTF">2021-09-03T07:33:36Z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154BA6FB089248B1805BF2A1F4C64C39</vt:lpwstr>
  </property>
</Properties>
</file>