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sz w:val="44"/>
          <w:szCs w:val="44"/>
        </w:rPr>
      </w:pPr>
    </w:p>
    <w:p>
      <w:pPr>
        <w:jc w:val="center"/>
        <w:rPr>
          <w:rFonts w:hint="eastAsia" w:ascii="宋体" w:hAnsi="宋体" w:eastAsia="宋体"/>
          <w:b/>
          <w:bCs/>
          <w:sz w:val="44"/>
          <w:szCs w:val="44"/>
        </w:rPr>
      </w:pPr>
      <w:r>
        <w:rPr>
          <w:rFonts w:hint="eastAsia" w:ascii="宋体" w:hAnsi="宋体" w:eastAsia="宋体"/>
          <w:b/>
          <w:bCs/>
          <w:sz w:val="44"/>
          <w:szCs w:val="44"/>
        </w:rPr>
        <w:t>201</w:t>
      </w:r>
      <w:r>
        <w:rPr>
          <w:rFonts w:hint="eastAsia" w:ascii="宋体" w:hAnsi="宋体" w:eastAsia="宋体"/>
          <w:b/>
          <w:bCs/>
          <w:sz w:val="44"/>
          <w:szCs w:val="44"/>
          <w:lang w:val="en-US" w:eastAsia="zh-CN"/>
        </w:rPr>
        <w:t>9</w:t>
      </w:r>
      <w:r>
        <w:rPr>
          <w:rFonts w:hint="eastAsia" w:ascii="宋体" w:hAnsi="宋体" w:eastAsia="宋体"/>
          <w:b/>
          <w:bCs/>
          <w:sz w:val="44"/>
          <w:szCs w:val="44"/>
        </w:rPr>
        <w:t>年绩效评价工作情况说明</w:t>
      </w:r>
    </w:p>
    <w:p>
      <w:pPr>
        <w:jc w:val="center"/>
        <w:rPr>
          <w:rFonts w:hint="eastAsia" w:ascii="宋体" w:hAnsi="宋体" w:eastAsia="宋体"/>
          <w:sz w:val="44"/>
          <w:szCs w:val="44"/>
        </w:rPr>
      </w:pPr>
      <w:bookmarkStart w:id="0" w:name="_GoBack"/>
      <w:bookmarkEnd w:id="0"/>
    </w:p>
    <w:p>
      <w:pPr>
        <w:keepNext w:val="0"/>
        <w:keepLines w:val="0"/>
        <w:pageBreakBefore w:val="0"/>
        <w:widowControl w:val="0"/>
        <w:kinsoku/>
        <w:wordWrap w:val="0"/>
        <w:overflowPunct/>
        <w:topLinePunct/>
        <w:autoSpaceDE/>
        <w:autoSpaceDN/>
        <w:bidi w:val="0"/>
        <w:adjustRightInd/>
        <w:snapToGrid/>
        <w:spacing w:line="636" w:lineRule="exact"/>
        <w:ind w:firstLine="640" w:firstLineChars="200"/>
        <w:jc w:val="both"/>
        <w:textAlignment w:val="auto"/>
        <w:rPr>
          <w:rFonts w:hint="default" w:ascii="仿宋_GB2312" w:eastAsia="仿宋_GB2312"/>
          <w:sz w:val="32"/>
          <w:szCs w:val="32"/>
          <w:lang w:val="en-US" w:eastAsia="zh-CN"/>
        </w:rPr>
      </w:pPr>
      <w:r>
        <w:rPr>
          <w:rFonts w:hint="eastAsia" w:ascii="仿宋_GB2312" w:eastAsia="仿宋_GB2312"/>
          <w:b w:val="0"/>
          <w:bCs w:val="0"/>
          <w:sz w:val="32"/>
          <w:szCs w:val="32"/>
          <w:lang w:val="en-US" w:eastAsia="zh-CN"/>
        </w:rPr>
        <w:t>2019年通过《关于报送2019年重点绩效评价项目的函》要求各科室（单位）根据财政资金管理需要和业务要求，报送拟进行重点绩效评价的项目。本着逐步覆盖“四本预算”的思想从各科室（单位）保送的项目中挑选城镇医保基金（35886万元）进行重点绩效评价，</w:t>
      </w:r>
      <w:r>
        <w:rPr>
          <w:rFonts w:hint="eastAsia" w:ascii="仿宋_GB2312" w:eastAsia="仿宋_GB2312"/>
          <w:sz w:val="32"/>
          <w:szCs w:val="32"/>
          <w:lang w:val="en-US" w:eastAsia="zh-CN"/>
        </w:rPr>
        <w:t>重点关注基金政策的征收标准、使用效果和专项债务的支撑能力等，逐步将社会保险基金预算纳入绩效管理，不断扩大绩效面。</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201</w:t>
      </w:r>
      <w:r>
        <w:rPr>
          <w:rFonts w:hint="eastAsia" w:ascii="仿宋" w:hAnsi="仿宋" w:eastAsia="仿宋" w:cs="仿宋"/>
          <w:sz w:val="32"/>
          <w:szCs w:val="32"/>
          <w:lang w:val="en-US" w:eastAsia="zh-CN"/>
        </w:rPr>
        <w:t>9</w:t>
      </w:r>
      <w:r>
        <w:rPr>
          <w:rFonts w:hint="eastAsia" w:ascii="仿宋" w:hAnsi="仿宋" w:eastAsia="仿宋" w:cs="仿宋"/>
          <w:sz w:val="32"/>
          <w:szCs w:val="32"/>
        </w:rPr>
        <w:t>年</w:t>
      </w:r>
      <w:r>
        <w:rPr>
          <w:rFonts w:hint="eastAsia" w:ascii="仿宋" w:hAnsi="仿宋" w:eastAsia="仿宋" w:cs="仿宋"/>
          <w:sz w:val="32"/>
          <w:szCs w:val="32"/>
          <w:lang w:eastAsia="zh-CN"/>
        </w:rPr>
        <w:t>要求市直部门（单位）对</w:t>
      </w:r>
      <w:r>
        <w:rPr>
          <w:rFonts w:hint="eastAsia" w:ascii="仿宋" w:hAnsi="仿宋" w:eastAsia="仿宋" w:cs="仿宋"/>
          <w:sz w:val="32"/>
          <w:szCs w:val="32"/>
          <w:lang w:val="en-US" w:eastAsia="zh-CN"/>
        </w:rPr>
        <w:t>2018年</w:t>
      </w:r>
      <w:r>
        <w:rPr>
          <w:rFonts w:hint="eastAsia" w:ascii="仿宋" w:hAnsi="仿宋" w:eastAsia="仿宋" w:cs="仿宋"/>
          <w:sz w:val="32"/>
          <w:szCs w:val="32"/>
          <w:lang w:eastAsia="zh-CN"/>
        </w:rPr>
        <w:t>市本级</w:t>
      </w:r>
      <w:r>
        <w:rPr>
          <w:rFonts w:hint="eastAsia" w:ascii="仿宋" w:hAnsi="仿宋" w:eastAsia="仿宋" w:cs="仿宋"/>
          <w:sz w:val="32"/>
          <w:szCs w:val="32"/>
        </w:rPr>
        <w:t>资金</w:t>
      </w:r>
      <w:r>
        <w:rPr>
          <w:rFonts w:hint="eastAsia" w:ascii="仿宋" w:hAnsi="仿宋" w:eastAsia="仿宋" w:cs="仿宋"/>
          <w:sz w:val="32"/>
          <w:szCs w:val="32"/>
          <w:lang w:eastAsia="zh-CN"/>
        </w:rPr>
        <w:t>（</w:t>
      </w:r>
      <w:r>
        <w:rPr>
          <w:rFonts w:hint="eastAsia" w:ascii="仿宋" w:hAnsi="仿宋" w:eastAsia="仿宋" w:cs="仿宋"/>
          <w:sz w:val="32"/>
          <w:szCs w:val="32"/>
        </w:rPr>
        <w:t>416927</w:t>
      </w:r>
      <w:r>
        <w:rPr>
          <w:rFonts w:hint="eastAsia" w:ascii="仿宋" w:hAnsi="仿宋" w:eastAsia="仿宋" w:cs="仿宋"/>
          <w:sz w:val="32"/>
          <w:szCs w:val="32"/>
          <w:lang w:eastAsia="zh-CN"/>
        </w:rPr>
        <w:t>万</w:t>
      </w:r>
      <w:r>
        <w:rPr>
          <w:rFonts w:hint="eastAsia" w:ascii="仿宋" w:hAnsi="仿宋" w:eastAsia="仿宋" w:cs="仿宋"/>
          <w:sz w:val="32"/>
          <w:szCs w:val="32"/>
        </w:rPr>
        <w:t>元</w:t>
      </w:r>
      <w:r>
        <w:rPr>
          <w:rFonts w:hint="eastAsia" w:ascii="仿宋" w:hAnsi="仿宋" w:eastAsia="仿宋" w:cs="仿宋"/>
          <w:sz w:val="32"/>
          <w:szCs w:val="32"/>
          <w:lang w:eastAsia="zh-CN"/>
        </w:rPr>
        <w:t>）进行绩效自评</w:t>
      </w:r>
      <w:r>
        <w:rPr>
          <w:rFonts w:hint="eastAsia" w:ascii="仿宋" w:hAnsi="仿宋" w:eastAsia="仿宋" w:cs="仿宋"/>
          <w:sz w:val="32"/>
          <w:szCs w:val="32"/>
        </w:rPr>
        <w:t>，</w:t>
      </w:r>
      <w:r>
        <w:rPr>
          <w:rFonts w:hint="eastAsia" w:ascii="仿宋" w:hAnsi="仿宋" w:eastAsia="仿宋" w:cs="仿宋"/>
          <w:sz w:val="32"/>
          <w:szCs w:val="32"/>
          <w:lang w:eastAsia="zh-CN"/>
        </w:rPr>
        <w:t>市本级已实现全覆盖</w:t>
      </w:r>
      <w:r>
        <w:rPr>
          <w:rFonts w:hint="eastAsia" w:ascii="仿宋" w:hAnsi="仿宋" w:eastAsia="仿宋" w:cs="仿宋"/>
          <w:sz w:val="32"/>
          <w:szCs w:val="32"/>
        </w:rPr>
        <w:t>。</w:t>
      </w:r>
    </w:p>
    <w:p>
      <w:pPr>
        <w:ind w:firstLine="640" w:firstLineChars="200"/>
        <w:rPr>
          <w:rFonts w:hint="eastAsia" w:ascii="仿宋" w:hAnsi="仿宋" w:eastAsia="仿宋" w:cs="仿宋"/>
          <w:sz w:val="32"/>
          <w:szCs w:val="32"/>
        </w:rPr>
      </w:pPr>
      <w:r>
        <w:rPr>
          <w:rFonts w:hint="eastAsia" w:ascii="仿宋_GB2312" w:hAnsi="Times New Roman" w:eastAsia="仿宋_GB2312" w:cs="Times New Roman"/>
          <w:sz w:val="32"/>
          <w:szCs w:val="32"/>
          <w:lang w:val="en-US" w:eastAsia="zh-CN"/>
        </w:rPr>
        <w:t>积极响应全面实施预算绩效管理精神，完善绩效制度规范，陆续出台相关文件。如：</w:t>
      </w:r>
      <w:r>
        <w:rPr>
          <w:rFonts w:hint="eastAsia" w:ascii="仿宋_GB2312" w:eastAsia="仿宋_GB2312"/>
          <w:sz w:val="32"/>
          <w:szCs w:val="32"/>
          <w:lang w:val="en-US" w:eastAsia="zh-CN"/>
        </w:rPr>
        <w:t>《怀化市财政局关于进一步加强市本级财政支出事前绩效评估管理的通知》（怀财绩</w:t>
      </w:r>
      <w:r>
        <w:rPr>
          <w:rFonts w:hint="eastAsia" w:ascii="仿宋_GB2312" w:eastAsia="仿宋_GB2312"/>
          <w:sz w:val="32"/>
          <w:szCs w:val="32"/>
        </w:rPr>
        <w:t>〔201</w:t>
      </w:r>
      <w:r>
        <w:rPr>
          <w:rFonts w:hint="eastAsia" w:ascii="仿宋_GB2312" w:eastAsia="仿宋_GB2312"/>
          <w:sz w:val="32"/>
          <w:szCs w:val="32"/>
          <w:lang w:val="en-US" w:eastAsia="zh-CN"/>
        </w:rPr>
        <w:t>9</w:t>
      </w:r>
      <w:r>
        <w:rPr>
          <w:rFonts w:hint="eastAsia" w:ascii="仿宋_GB2312" w:eastAsia="仿宋_GB2312"/>
          <w:sz w:val="32"/>
          <w:szCs w:val="32"/>
        </w:rPr>
        <w:t>〕</w:t>
      </w:r>
      <w:r>
        <w:rPr>
          <w:rFonts w:hint="eastAsia" w:ascii="仿宋_GB2312" w:eastAsia="仿宋_GB2312"/>
          <w:sz w:val="32"/>
          <w:szCs w:val="32"/>
          <w:lang w:val="en-US" w:eastAsia="zh-CN"/>
        </w:rPr>
        <w:t>140号）、《怀化市财政局关于进一步加强市本级财政政策和专项资金预算绩效管理工作的通知》（怀财绩</w:t>
      </w:r>
      <w:r>
        <w:rPr>
          <w:rFonts w:hint="eastAsia" w:ascii="仿宋_GB2312" w:eastAsia="仿宋_GB2312"/>
          <w:sz w:val="32"/>
          <w:szCs w:val="32"/>
        </w:rPr>
        <w:t>〔201</w:t>
      </w:r>
      <w:r>
        <w:rPr>
          <w:rFonts w:hint="eastAsia" w:ascii="仿宋_GB2312" w:eastAsia="仿宋_GB2312"/>
          <w:sz w:val="32"/>
          <w:szCs w:val="32"/>
          <w:lang w:val="en-US" w:eastAsia="zh-CN"/>
        </w:rPr>
        <w:t>9</w:t>
      </w:r>
      <w:r>
        <w:rPr>
          <w:rFonts w:hint="eastAsia" w:ascii="仿宋_GB2312" w:eastAsia="仿宋_GB2312"/>
          <w:sz w:val="32"/>
          <w:szCs w:val="32"/>
        </w:rPr>
        <w:t>〕</w:t>
      </w:r>
      <w:r>
        <w:rPr>
          <w:rFonts w:hint="eastAsia" w:ascii="仿宋_GB2312" w:eastAsia="仿宋_GB2312"/>
          <w:sz w:val="32"/>
          <w:szCs w:val="32"/>
          <w:lang w:val="en-US" w:eastAsia="zh-CN"/>
        </w:rPr>
        <w:t>143号）、《怀化市财政局关于中介机构绩效评价工作质量考核的通知》（怀财绩</w:t>
      </w:r>
      <w:r>
        <w:rPr>
          <w:rFonts w:hint="eastAsia" w:ascii="仿宋_GB2312" w:eastAsia="仿宋_GB2312"/>
          <w:sz w:val="32"/>
          <w:szCs w:val="32"/>
        </w:rPr>
        <w:t>〔201</w:t>
      </w:r>
      <w:r>
        <w:rPr>
          <w:rFonts w:hint="eastAsia" w:ascii="仿宋_GB2312" w:eastAsia="仿宋_GB2312"/>
          <w:sz w:val="32"/>
          <w:szCs w:val="32"/>
          <w:lang w:val="en-US" w:eastAsia="zh-CN"/>
        </w:rPr>
        <w:t>9</w:t>
      </w:r>
      <w:r>
        <w:rPr>
          <w:rFonts w:hint="eastAsia" w:ascii="仿宋_GB2312" w:eastAsia="仿宋_GB2312"/>
          <w:sz w:val="32"/>
          <w:szCs w:val="32"/>
        </w:rPr>
        <w:t>〕</w:t>
      </w:r>
      <w:r>
        <w:rPr>
          <w:rFonts w:hint="eastAsia" w:ascii="仿宋_GB2312" w:eastAsia="仿宋_GB2312"/>
          <w:sz w:val="32"/>
          <w:szCs w:val="32"/>
          <w:lang w:val="en-US" w:eastAsia="zh-CN"/>
        </w:rPr>
        <w:t>142号）加强绩效评价过程监督和质量控制，进一步提升绩效评价的质量。</w:t>
      </w: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5C2"/>
    <w:rsid w:val="000725C2"/>
    <w:rsid w:val="002E3D54"/>
    <w:rsid w:val="00410A8B"/>
    <w:rsid w:val="0043058F"/>
    <w:rsid w:val="007E4105"/>
    <w:rsid w:val="01C41951"/>
    <w:rsid w:val="15B455AA"/>
    <w:rsid w:val="1B475B04"/>
    <w:rsid w:val="1C723AAF"/>
    <w:rsid w:val="1F0F7E77"/>
    <w:rsid w:val="25ED243A"/>
    <w:rsid w:val="2D153246"/>
    <w:rsid w:val="39181F00"/>
    <w:rsid w:val="44FF780B"/>
    <w:rsid w:val="485F4B6F"/>
    <w:rsid w:val="565C52DD"/>
    <w:rsid w:val="5B460D07"/>
    <w:rsid w:val="5D954779"/>
    <w:rsid w:val="675265B2"/>
    <w:rsid w:val="6C003A20"/>
    <w:rsid w:val="6C2E5A34"/>
    <w:rsid w:val="6EF72D95"/>
    <w:rsid w:val="7F7C26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uiPriority w:val="99"/>
    <w:rPr>
      <w:sz w:val="18"/>
      <w:szCs w:val="18"/>
    </w:rPr>
  </w:style>
  <w:style w:type="character" w:customStyle="1" w:styleId="7">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63</Words>
  <Characters>362</Characters>
  <Lines>3</Lines>
  <Paragraphs>1</Paragraphs>
  <TotalTime>2350</TotalTime>
  <ScaleCrop>false</ScaleCrop>
  <LinksUpToDate>false</LinksUpToDate>
  <CharactersWithSpaces>424</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2019-01-11T07:37:00Z</dcterms:created>
  <dc:creator>LDPY</dc:creator>
  <cp:lastModifiedBy>ysk-04</cp:lastModifiedBy>
  <cp:lastPrinted>2019-01-11T07:40:00Z</cp:lastPrinted>
  <dcterms:modified xsi:type="dcterms:W3CDTF">2019-12-04T00:52:32Z</dcterms:modified>
  <dc:title>2018年绩效评价工作情况说明</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