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转移支付情况说明</w:t>
      </w:r>
    </w:p>
    <w:bookmarkEnd w:id="0"/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2018年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6"/>
          <w:szCs w:val="36"/>
          <w:shd w:val="clear" w:fill="FFFFFF"/>
        </w:rPr>
        <w:t>上级补助安排使用情况：上级补助收入26.61亿元，增长12.3%。其中：返还性收入4.76亿元，与上年持平；一般性转移支付收入16.95亿元，同口径增长8.7%；专项转移支付收入4.9亿元，增长128%。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E480B"/>
    <w:rsid w:val="375E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2019-12-18T07:09:00Z</dcterms:created>
  <dc:creator>ysk-04</dc:creator>
  <cp:lastModifiedBy>ysk-04</cp:lastModifiedBy>
  <dcterms:modified xsi:type="dcterms:W3CDTF">2019-12-18T07:10:03Z</dcterms:modified>
  <dc:title>转移支付情况说明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